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4D" w:rsidRPr="00BD654D" w:rsidRDefault="00BD654D" w:rsidP="00BD654D">
      <w:pPr>
        <w:spacing w:after="0" w:line="240" w:lineRule="auto"/>
        <w:ind w:right="540"/>
        <w:rPr>
          <w:rFonts w:ascii="Arial" w:eastAsia="Times New Roman" w:hAnsi="Arial" w:cs="Arial"/>
          <w:color w:val="202124"/>
          <w:sz w:val="20"/>
          <w:szCs w:val="20"/>
          <w:lang w:eastAsia="pt-BR"/>
        </w:rPr>
      </w:pPr>
      <w:bookmarkStart w:id="0" w:name="_GoBack"/>
      <w:r w:rsidRPr="00BD654D">
        <w:rPr>
          <w:rFonts w:ascii="Arial" w:eastAsia="Times New Roman" w:hAnsi="Arial" w:cs="Arial"/>
          <w:color w:val="202124"/>
          <w:sz w:val="20"/>
          <w:szCs w:val="20"/>
          <w:lang w:eastAsia="pt-BR"/>
        </w:rPr>
        <w:t>AÇÃO RESCISÓRIA 1.127 - RIO GRANDE DO SUL</w:t>
      </w:r>
    </w:p>
    <w:bookmarkEnd w:id="0"/>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RELATORA :</w:t>
      </w:r>
      <w:proofErr w:type="gramEnd"/>
      <w:r w:rsidRPr="00BD654D">
        <w:rPr>
          <w:rFonts w:ascii="Arial" w:eastAsia="Times New Roman" w:hAnsi="Arial" w:cs="Arial"/>
          <w:color w:val="202124"/>
          <w:sz w:val="20"/>
          <w:szCs w:val="20"/>
          <w:lang w:eastAsia="pt-BR"/>
        </w:rPr>
        <w:t xml:space="preserve"> MIN. ROSA WEBER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REVISOR :</w:t>
      </w:r>
      <w:proofErr w:type="gramEnd"/>
      <w:r w:rsidRPr="00BD654D">
        <w:rPr>
          <w:rFonts w:ascii="Arial" w:eastAsia="Times New Roman" w:hAnsi="Arial" w:cs="Arial"/>
          <w:color w:val="202124"/>
          <w:sz w:val="20"/>
          <w:szCs w:val="20"/>
          <w:lang w:eastAsia="pt-BR"/>
        </w:rPr>
        <w:t xml:space="preserve"> MIN. ROBERTO BARROSO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AUTOR(</w:t>
      </w:r>
      <w:proofErr w:type="gramEnd"/>
      <w:r w:rsidRPr="00BD654D">
        <w:rPr>
          <w:rFonts w:ascii="Arial" w:eastAsia="Times New Roman" w:hAnsi="Arial" w:cs="Arial"/>
          <w:color w:val="202124"/>
          <w:sz w:val="20"/>
          <w:szCs w:val="20"/>
          <w:lang w:eastAsia="pt-BR"/>
        </w:rPr>
        <w:t>A/S)(ES) :CRISTOVAO MANOEL A MUNOZ</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ADV.(</w:t>
      </w:r>
      <w:proofErr w:type="gramEnd"/>
      <w:r w:rsidRPr="00BD654D">
        <w:rPr>
          <w:rFonts w:ascii="Arial" w:eastAsia="Times New Roman" w:hAnsi="Arial" w:cs="Arial"/>
          <w:color w:val="202124"/>
          <w:sz w:val="20"/>
          <w:szCs w:val="20"/>
          <w:lang w:eastAsia="pt-BR"/>
        </w:rPr>
        <w:t>A/S) :ANOR BUTLER MACIEL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RÉU(</w:t>
      </w:r>
      <w:proofErr w:type="gramEnd"/>
      <w:r w:rsidRPr="00BD654D">
        <w:rPr>
          <w:rFonts w:ascii="Arial" w:eastAsia="Times New Roman" w:hAnsi="Arial" w:cs="Arial"/>
          <w:color w:val="202124"/>
          <w:sz w:val="20"/>
          <w:szCs w:val="20"/>
          <w:lang w:eastAsia="pt-BR"/>
        </w:rPr>
        <w:t>É)(S) :PAULO ROBERTO MENEZES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ADV.(</w:t>
      </w:r>
      <w:proofErr w:type="gramEnd"/>
      <w:r w:rsidRPr="00BD654D">
        <w:rPr>
          <w:rFonts w:ascii="Arial" w:eastAsia="Times New Roman" w:hAnsi="Arial" w:cs="Arial"/>
          <w:color w:val="202124"/>
          <w:sz w:val="20"/>
          <w:szCs w:val="20"/>
          <w:lang w:eastAsia="pt-BR"/>
        </w:rPr>
        <w:t>A/S) :JORGE ALBERTO VINHAES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Vistos etc.</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Trata-se de ação rescisória ajuizada em 17.8.1981 por CRISTÓVÃO MANOEL DE ALMEIDA MUÑOZ, BEATRIZ MARIA MUÑOZ BRAZ e GIL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RODRIGUES BRAZ, em face de PAULO ROBERTO MENEZES, visando à desconstituição de decisum do Pleno deste Supremo Tribunal Federal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(9vol., fls. 762-5), proferido em 22.8.1979 (e publicado em 12.9.1979, fl. 765), em que negado provimento a agravo regimental interposto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decisão</w:t>
      </w:r>
      <w:proofErr w:type="gramEnd"/>
      <w:r w:rsidRPr="00BD654D">
        <w:rPr>
          <w:rFonts w:ascii="Arial" w:eastAsia="Times New Roman" w:hAnsi="Arial" w:cs="Arial"/>
          <w:color w:val="202124"/>
          <w:sz w:val="20"/>
          <w:szCs w:val="20"/>
          <w:lang w:eastAsia="pt-BR"/>
        </w:rPr>
        <w:t xml:space="preserve"> monocrática do Ministro Cordeiro Guerra (fls. 756-9), pela qual não admitidos embargos de divergência de acórdão da Primeira Turma deste Tribunal que, por sua vez, não conheceu do RE nº 77.956/RS (8vol., fls. 651-703 e 706-31).</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Funda-se a inicial no art. 485, II, V e IX, do CPC/1973, sob alegação da existência de nulidades verificadas “no correr do processo” (ação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investigação</w:t>
      </w:r>
      <w:proofErr w:type="gramEnd"/>
      <w:r w:rsidRPr="00BD654D">
        <w:rPr>
          <w:rFonts w:ascii="Arial" w:eastAsia="Times New Roman" w:hAnsi="Arial" w:cs="Arial"/>
          <w:color w:val="202124"/>
          <w:sz w:val="20"/>
          <w:szCs w:val="20"/>
          <w:lang w:eastAsia="pt-BR"/>
        </w:rPr>
        <w:t xml:space="preserve"> de paternidade cumulada com petição de herança), as quais pretendem, os autores, sejam revisitadas na presente 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rescisória</w:t>
      </w:r>
      <w:proofErr w:type="gramEnd"/>
      <w:r w:rsidRPr="00BD654D">
        <w:rPr>
          <w:rFonts w:ascii="Arial" w:eastAsia="Times New Roman" w:hAnsi="Arial" w:cs="Arial"/>
          <w:color w:val="202124"/>
          <w:sz w:val="20"/>
          <w:szCs w:val="20"/>
          <w:lang w:eastAsia="pt-BR"/>
        </w:rPr>
        <w:t>, nos seguintes termos: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(i) violação do art. 119 do CPC/1939 porque “o juiz da instância inicial considerou-se suspeito e, depois disso, voltou a julgar o processo” bem como porque “o não acolhimento dessa nulidade pelo acórdão da </w:t>
      </w:r>
      <w:proofErr w:type="spellStart"/>
      <w:r w:rsidRPr="00BD654D">
        <w:rPr>
          <w:rFonts w:ascii="Arial" w:eastAsia="Times New Roman" w:hAnsi="Arial" w:cs="Arial"/>
          <w:color w:val="202124"/>
          <w:sz w:val="20"/>
          <w:szCs w:val="20"/>
          <w:lang w:eastAsia="pt-BR"/>
        </w:rPr>
        <w:t>Eg</w:t>
      </w:r>
      <w:proofErr w:type="spellEnd"/>
      <w:r w:rsidRPr="00BD654D">
        <w:rPr>
          <w:rFonts w:ascii="Arial" w:eastAsia="Times New Roman" w:hAnsi="Arial" w:cs="Arial"/>
          <w:color w:val="202124"/>
          <w:sz w:val="20"/>
          <w:szCs w:val="20"/>
          <w:lang w:eastAsia="pt-BR"/>
        </w:rPr>
        <w:t xml:space="preserve">. 2ª Câmara Cível, pelo 1º Grupo de Câmaras Cíveis do Tribunal de Justiça e pela 1ª Turma do </w:t>
      </w:r>
      <w:proofErr w:type="spellStart"/>
      <w:r w:rsidRPr="00BD654D">
        <w:rPr>
          <w:rFonts w:ascii="Arial" w:eastAsia="Times New Roman" w:hAnsi="Arial" w:cs="Arial"/>
          <w:color w:val="202124"/>
          <w:sz w:val="20"/>
          <w:szCs w:val="20"/>
          <w:lang w:eastAsia="pt-BR"/>
        </w:rPr>
        <w:t>Eg</w:t>
      </w:r>
      <w:proofErr w:type="spellEnd"/>
      <w:r w:rsidRPr="00BD654D">
        <w:rPr>
          <w:rFonts w:ascii="Arial" w:eastAsia="Times New Roman" w:hAnsi="Arial" w:cs="Arial"/>
          <w:color w:val="202124"/>
          <w:sz w:val="20"/>
          <w:szCs w:val="20"/>
          <w:lang w:eastAsia="pt-BR"/>
        </w:rPr>
        <w:t>. Supremo Tribunal Federal importou em tais julgados terem violado literal disposição de lei”;</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w:t>
      </w:r>
      <w:proofErr w:type="spellStart"/>
      <w:r w:rsidRPr="00BD654D">
        <w:rPr>
          <w:rFonts w:ascii="Arial" w:eastAsia="Times New Roman" w:hAnsi="Arial" w:cs="Arial"/>
          <w:color w:val="202124"/>
          <w:sz w:val="20"/>
          <w:szCs w:val="20"/>
          <w:lang w:eastAsia="pt-BR"/>
        </w:rPr>
        <w:t>ii</w:t>
      </w:r>
      <w:proofErr w:type="spellEnd"/>
      <w:r w:rsidRPr="00BD654D">
        <w:rPr>
          <w:rFonts w:ascii="Arial" w:eastAsia="Times New Roman" w:hAnsi="Arial" w:cs="Arial"/>
          <w:color w:val="202124"/>
          <w:sz w:val="20"/>
          <w:szCs w:val="20"/>
          <w:lang w:eastAsia="pt-BR"/>
        </w:rPr>
        <w:t>) violação do art. 144, § 6º, da Constituição Federal de 1967, com a redação da EC nº 1/1969, porque “se o julgamento primeiro da apelação foi anulado, o juiz do 1º Grau convocado não ficou vinculado para ser convocado novamente, uma vez que esse primeiro julgamento foi declarado inexistente; se o juiz substituído já então estava em exercício, a câmara, com convocação irregular, ficou com mais um julgador ferindo-se” o mencionado dispositivo constitucional “pela participação no julgamento de um juiz a mais que 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w:t>
      </w:r>
      <w:proofErr w:type="spellStart"/>
      <w:proofErr w:type="gramStart"/>
      <w:r w:rsidRPr="00BD654D">
        <w:rPr>
          <w:rFonts w:ascii="Arial" w:eastAsia="Times New Roman" w:hAnsi="Arial" w:cs="Arial"/>
          <w:color w:val="202124"/>
          <w:sz w:val="20"/>
          <w:szCs w:val="20"/>
          <w:lang w:eastAsia="pt-BR"/>
        </w:rPr>
        <w:t>quorum</w:t>
      </w:r>
      <w:proofErr w:type="spellEnd"/>
      <w:proofErr w:type="gramEnd"/>
      <w:r w:rsidRPr="00BD654D">
        <w:rPr>
          <w:rFonts w:ascii="Arial" w:eastAsia="Times New Roman" w:hAnsi="Arial" w:cs="Arial"/>
          <w:color w:val="202124"/>
          <w:sz w:val="20"/>
          <w:szCs w:val="20"/>
          <w:lang w:eastAsia="pt-BR"/>
        </w:rPr>
        <w:t>’ constitucional”;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w:t>
      </w:r>
      <w:proofErr w:type="spellStart"/>
      <w:r w:rsidRPr="00BD654D">
        <w:rPr>
          <w:rFonts w:ascii="Arial" w:eastAsia="Times New Roman" w:hAnsi="Arial" w:cs="Arial"/>
          <w:color w:val="202124"/>
          <w:sz w:val="20"/>
          <w:szCs w:val="20"/>
          <w:lang w:eastAsia="pt-BR"/>
        </w:rPr>
        <w:t>iii</w:t>
      </w:r>
      <w:proofErr w:type="spellEnd"/>
      <w:r w:rsidRPr="00BD654D">
        <w:rPr>
          <w:rFonts w:ascii="Arial" w:eastAsia="Times New Roman" w:hAnsi="Arial" w:cs="Arial"/>
          <w:color w:val="202124"/>
          <w:sz w:val="20"/>
          <w:szCs w:val="20"/>
          <w:lang w:eastAsia="pt-BR"/>
        </w:rPr>
        <w:t xml:space="preserve">) violação dos </w:t>
      </w:r>
      <w:proofErr w:type="spellStart"/>
      <w:r w:rsidRPr="00BD654D">
        <w:rPr>
          <w:rFonts w:ascii="Arial" w:eastAsia="Times New Roman" w:hAnsi="Arial" w:cs="Arial"/>
          <w:color w:val="202124"/>
          <w:sz w:val="20"/>
          <w:szCs w:val="20"/>
          <w:lang w:eastAsia="pt-BR"/>
        </w:rPr>
        <w:t>arts</w:t>
      </w:r>
      <w:proofErr w:type="spellEnd"/>
      <w:r w:rsidRPr="00BD654D">
        <w:rPr>
          <w:rFonts w:ascii="Arial" w:eastAsia="Times New Roman" w:hAnsi="Arial" w:cs="Arial"/>
          <w:color w:val="202124"/>
          <w:sz w:val="20"/>
          <w:szCs w:val="20"/>
          <w:lang w:eastAsia="pt-BR"/>
        </w:rPr>
        <w:t xml:space="preserve">. 80, §§ 1º e 2º, e 84 do CPC/1939 porque na ação investigatória de paternidade que deu origem ao recurso extraordinário, a citação da ré </w:t>
      </w:r>
      <w:proofErr w:type="spellStart"/>
      <w:r w:rsidRPr="00BD654D">
        <w:rPr>
          <w:rFonts w:ascii="Arial" w:eastAsia="Times New Roman" w:hAnsi="Arial" w:cs="Arial"/>
          <w:color w:val="202124"/>
          <w:sz w:val="20"/>
          <w:szCs w:val="20"/>
          <w:lang w:eastAsia="pt-BR"/>
        </w:rPr>
        <w:t>Genezi</w:t>
      </w:r>
      <w:proofErr w:type="spellEnd"/>
      <w:r w:rsidRPr="00BD654D">
        <w:rPr>
          <w:rFonts w:ascii="Arial" w:eastAsia="Times New Roman" w:hAnsi="Arial" w:cs="Arial"/>
          <w:color w:val="202124"/>
          <w:sz w:val="20"/>
          <w:szCs w:val="20"/>
          <w:lang w:eastAsia="pt-BR"/>
        </w:rPr>
        <w:t xml:space="preserve"> Mariano Moreira foi realizada por edital e, não tendo ela acudido ao chamamento judicial, deixou-se de nomear, em seu favor, curador à lide; 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w:t>
      </w:r>
      <w:proofErr w:type="spellStart"/>
      <w:r w:rsidRPr="00BD654D">
        <w:rPr>
          <w:rFonts w:ascii="Arial" w:eastAsia="Times New Roman" w:hAnsi="Arial" w:cs="Arial"/>
          <w:color w:val="202124"/>
          <w:sz w:val="20"/>
          <w:szCs w:val="20"/>
          <w:lang w:eastAsia="pt-BR"/>
        </w:rPr>
        <w:t>iv</w:t>
      </w:r>
      <w:proofErr w:type="spellEnd"/>
      <w:r w:rsidRPr="00BD654D">
        <w:rPr>
          <w:rFonts w:ascii="Arial" w:eastAsia="Times New Roman" w:hAnsi="Arial" w:cs="Arial"/>
          <w:color w:val="202124"/>
          <w:sz w:val="20"/>
          <w:szCs w:val="20"/>
          <w:lang w:eastAsia="pt-BR"/>
        </w:rPr>
        <w:t>) violação do art. 363, I e II, do Código Civil/1916, pois conquanto o investigante tenha oferecido prova exclusivamente testemunhal para obtenção da alegada paternidade, os Juízos de 1º e 2º Graus implicitamente o liberaram da comprovação da coincidência da concepção com as relações sexuais do pretenso pai, como também da prova de que teria havido concubinato no período da concepção em apreço.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Na origem, cuida-se de ação de investigação de paternidade cumulada com petição de herança proposta em 21.4.1956 por Paulo Roberto Menezes contra os herdeiros de José Cândido de Almeida (2vol., fls. 10-2) perante a Comarca de Alegrete, RS. Todos os réus daquela ação foram citados pessoalmente, com exceção de </w:t>
      </w:r>
      <w:proofErr w:type="spellStart"/>
      <w:r w:rsidRPr="00BD654D">
        <w:rPr>
          <w:rFonts w:ascii="Arial" w:eastAsia="Times New Roman" w:hAnsi="Arial" w:cs="Arial"/>
          <w:color w:val="202124"/>
          <w:sz w:val="20"/>
          <w:szCs w:val="20"/>
          <w:lang w:eastAsia="pt-BR"/>
        </w:rPr>
        <w:t>Genezi</w:t>
      </w:r>
      <w:proofErr w:type="spellEnd"/>
      <w:r w:rsidRPr="00BD654D">
        <w:rPr>
          <w:rFonts w:ascii="Arial" w:eastAsia="Times New Roman" w:hAnsi="Arial" w:cs="Arial"/>
          <w:color w:val="202124"/>
          <w:sz w:val="20"/>
          <w:szCs w:val="20"/>
          <w:lang w:eastAsia="pt-BR"/>
        </w:rPr>
        <w:t xml:space="preserve"> Mariano Moreira, citada por edital (3vol., fl. 99-103).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A ação, ao final, foi julgada procedente por sentença proferida em 28.1.1968 (6vol., fls. 337-44).</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Inconformados, os réus interpuseram apelação à qual negado provimento pelo Tribunal de Justiça do Rio Grande do Sul em 12.3.1969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Em seguida, interpuseram recurso extraordinário com o intuito de anular o julgamento da apelação, ao argumento de que seu patrono não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teria</w:t>
      </w:r>
      <w:proofErr w:type="gramEnd"/>
      <w:r w:rsidRPr="00BD654D">
        <w:rPr>
          <w:rFonts w:ascii="Arial" w:eastAsia="Times New Roman" w:hAnsi="Arial" w:cs="Arial"/>
          <w:color w:val="202124"/>
          <w:sz w:val="20"/>
          <w:szCs w:val="20"/>
          <w:lang w:eastAsia="pt-BR"/>
        </w:rPr>
        <w:t xml:space="preserve"> sido intimado para o julgamento. Tramitou então o recurso perante esta Suprema Corte – RE nº 69.053/RS –, julgado pela Primeira Turma, que lhe deu provimento anulando o acórdão para que se procedesse novo julgamento da apelação (7vol., fls. 479-84).</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Julgada novamente a apelação, o Tribunal de Justiça do Rio Grande do Sul rejeitou as preliminares de ilegitimidade do relator para atuar no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feito</w:t>
      </w:r>
      <w:proofErr w:type="gramEnd"/>
      <w:r w:rsidRPr="00BD654D">
        <w:rPr>
          <w:rFonts w:ascii="Arial" w:eastAsia="Times New Roman" w:hAnsi="Arial" w:cs="Arial"/>
          <w:color w:val="202124"/>
          <w:sz w:val="20"/>
          <w:szCs w:val="20"/>
          <w:lang w:eastAsia="pt-BR"/>
        </w:rPr>
        <w:t>, a de suspeição do juiz e a de nulidade por ausência de nomeação de curador à ré revel citada por edital; no mérito negou provimento à</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apelação</w:t>
      </w:r>
      <w:proofErr w:type="gramEnd"/>
      <w:r w:rsidRPr="00BD654D">
        <w:rPr>
          <w:rFonts w:ascii="Arial" w:eastAsia="Times New Roman" w:hAnsi="Arial" w:cs="Arial"/>
          <w:color w:val="202124"/>
          <w:sz w:val="20"/>
          <w:szCs w:val="20"/>
          <w:lang w:eastAsia="pt-BR"/>
        </w:rPr>
        <w:t xml:space="preserve"> novamente mantendo a sentença de procedência (7vol., fls. 501-32).</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Contra o referido acórdão foram interpostos: recurso extraordinário (o 1º, às fls. 535-41), embargos infringentes (fls. 550-552) e embargos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declaração</w:t>
      </w:r>
      <w:proofErr w:type="gramEnd"/>
      <w:r w:rsidRPr="00BD654D">
        <w:rPr>
          <w:rFonts w:ascii="Arial" w:eastAsia="Times New Roman" w:hAnsi="Arial" w:cs="Arial"/>
          <w:color w:val="202124"/>
          <w:sz w:val="20"/>
          <w:szCs w:val="20"/>
          <w:lang w:eastAsia="pt-BR"/>
        </w:rPr>
        <w:t xml:space="preserve"> (fl. 554). Indeferidos os declaratórios (fl. 555), da referida decisão foi interposto novo recurso extraordinário (o 2º, às fls. 556-61).</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Rejeitados os embargos infringentes (8vol., fls. 571-83) foi interposto mais um recurso extraordinário (o 3º, às fls. 585vº-587).</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Os três recursos extraordinários foram então remetidos a este Supremo Tribunal e distribuídos como RE 77.956/RS ao Ministro </w:t>
      </w:r>
      <w:proofErr w:type="spellStart"/>
      <w:r w:rsidRPr="00BD654D">
        <w:rPr>
          <w:rFonts w:ascii="Arial" w:eastAsia="Times New Roman" w:hAnsi="Arial" w:cs="Arial"/>
          <w:color w:val="202124"/>
          <w:sz w:val="20"/>
          <w:szCs w:val="20"/>
          <w:lang w:eastAsia="pt-BR"/>
        </w:rPr>
        <w:t>Antonio</w:t>
      </w:r>
      <w:proofErr w:type="spell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Neder. Foram apreciados em conjunto pela Primeira Turma desta Suprema Corte, em julgamento que teve início em 08.11.1977 e, após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sucessivos</w:t>
      </w:r>
      <w:proofErr w:type="gramEnd"/>
      <w:r w:rsidRPr="00BD654D">
        <w:rPr>
          <w:rFonts w:ascii="Arial" w:eastAsia="Times New Roman" w:hAnsi="Arial" w:cs="Arial"/>
          <w:color w:val="202124"/>
          <w:sz w:val="20"/>
          <w:szCs w:val="20"/>
          <w:lang w:eastAsia="pt-BR"/>
        </w:rPr>
        <w:t xml:space="preserve"> adiamentos por pedidos de vista, foi concluído em 28.3.1978, restando não conhecidos os recursos extraordinários (8vol., fls. 651-703), em acórdão com a seguinte ementa: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“AÇÃO DE INVESTIGAÇÃO DE PATERNIDADE CUMULADA COM PETIÇÃO DE HERANÇA.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Juiz que, depois de se dar por suspeito, reconsiderou sua posição anterior, e, com a aceitação das partes julgou a causa. Dissídio de Jurisprudência não comprovado.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Alegação de irregular composição do Tribunal a quo. Inexistência de violação do artigo 144, § 6º, da Constituição, e do artigo 182, §1º, do Código de Processo Civil de 1939.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Falta de negativa de vigência dos artigos 120, 233, parágrafo único, e 188 do Código de Processo Civil de 1939.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Falta de nomeação de curador à lide. Razoabilidade do entendimento de que, havendo litisconsórcio necessário, haveria representação, em juízo, da herdeira que foi citada por edital. Súmula 400.</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Não cabimento de recurso extraordinário contra despacho que indeferiu liminarmente os embargos de declaração.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Recursos extraordinários não </w:t>
      </w:r>
      <w:proofErr w:type="gramStart"/>
      <w:r w:rsidRPr="00BD654D">
        <w:rPr>
          <w:rFonts w:ascii="Arial" w:eastAsia="Times New Roman" w:hAnsi="Arial" w:cs="Arial"/>
          <w:color w:val="202124"/>
          <w:sz w:val="20"/>
          <w:szCs w:val="20"/>
          <w:lang w:eastAsia="pt-BR"/>
        </w:rPr>
        <w:t>conhecidos.”</w:t>
      </w:r>
      <w:proofErr w:type="gramEnd"/>
      <w:r w:rsidRPr="00BD654D">
        <w:rPr>
          <w:rFonts w:ascii="Arial" w:eastAsia="Times New Roman" w:hAnsi="Arial" w:cs="Arial"/>
          <w:color w:val="202124"/>
          <w:sz w:val="20"/>
          <w:szCs w:val="20"/>
          <w:lang w:eastAsia="pt-BR"/>
        </w:rPr>
        <w:t xml:space="preserve"> (RE 77.956/RS, Primeira Turma, Rel. Ministro Antônio Neder, DJ 23.02.79)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Interpostos embargos declaratórios na parte do acórdão que inadmitiu um dos recursos extraordinários foram eles (sob a relatoria 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Ministro Moreira Alves, redator do acórdão) recebidos para efeito de novo julgamento do referido recurso extraordinário que, por sua vez,</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julgado</w:t>
      </w:r>
      <w:proofErr w:type="gramEnd"/>
      <w:r w:rsidRPr="00BD654D">
        <w:rPr>
          <w:rFonts w:ascii="Arial" w:eastAsia="Times New Roman" w:hAnsi="Arial" w:cs="Arial"/>
          <w:color w:val="202124"/>
          <w:sz w:val="20"/>
          <w:szCs w:val="20"/>
          <w:lang w:eastAsia="pt-BR"/>
        </w:rPr>
        <w:t xml:space="preserve">, não foi conhecido.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 acórdão, datado de 13.3.1979, recebeu a seguinte ementa (fls. 706-31):</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“EMBARGOS DE DECLARAÇÃO. ERRO DO ACÓRDÃO. EMBARGADO QUANTO À DECISÃO QUE SE DIRIGIRA UM DOS RECURSOS EXTRAORDINÁRIOS INTERPOSTOS.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Novo julgamento do recurso extraordinário em causa, e seu não conhecimento, por falta de prequestionamento (súmulas 282 e 356) da questão relativa à valorização de prova, que não foi sequer objeto da petição dos embargos declaratórios interpostos na instância ordinária.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Embargos de declaração recebidos para o efeito de novo julgamento do recurso extraordinário em causa, que julgado, não foi </w:t>
      </w:r>
      <w:proofErr w:type="gramStart"/>
      <w:r w:rsidRPr="00BD654D">
        <w:rPr>
          <w:rFonts w:ascii="Arial" w:eastAsia="Times New Roman" w:hAnsi="Arial" w:cs="Arial"/>
          <w:color w:val="202124"/>
          <w:sz w:val="20"/>
          <w:szCs w:val="20"/>
          <w:lang w:eastAsia="pt-BR"/>
        </w:rPr>
        <w:t>conhecido.”</w:t>
      </w:r>
      <w:proofErr w:type="gramEnd"/>
      <w:r w:rsidRPr="00BD654D">
        <w:rPr>
          <w:rFonts w:ascii="Arial" w:eastAsia="Times New Roman" w:hAnsi="Arial" w:cs="Arial"/>
          <w:color w:val="202124"/>
          <w:sz w:val="20"/>
          <w:szCs w:val="20"/>
          <w:lang w:eastAsia="pt-BR"/>
        </w:rPr>
        <w:t xml:space="preserve"> (RE 77.956ED/RS, Primeira Turma, Rel. Ministro Moreira Alves, DJ 30.5.79)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Contra referida decisão foram interpostos embargos de divergência (fls. 732-40), os quais tiveram seguimento negado por decisão do Ministro Cordeiro Guerra, porque, em suma, “indemonstradas as pretendidas divergências” (fls. 756-9).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Contra essa decisão, foi interposto agravo regimental, ao qual negado provimento por acórdão unânime do Tribunal Pleno desta Suprema Corte, publicado em 12.9.79 (fls. 762-5). O voto do Ministro Relator teve o seguinte teor ipsis litteris: “Nego provimento ao agravo, pelos fundamentos do despacho agravado”.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Esta foi a última decisão do processo, ao que se verifica dos documentos juntados.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No que </w:t>
      </w:r>
      <w:proofErr w:type="spellStart"/>
      <w:r w:rsidRPr="00BD654D">
        <w:rPr>
          <w:rFonts w:ascii="Arial" w:eastAsia="Times New Roman" w:hAnsi="Arial" w:cs="Arial"/>
          <w:color w:val="202124"/>
          <w:sz w:val="20"/>
          <w:szCs w:val="20"/>
          <w:lang w:eastAsia="pt-BR"/>
        </w:rPr>
        <w:t>pertine</w:t>
      </w:r>
      <w:proofErr w:type="spellEnd"/>
      <w:r w:rsidRPr="00BD654D">
        <w:rPr>
          <w:rFonts w:ascii="Arial" w:eastAsia="Times New Roman" w:hAnsi="Arial" w:cs="Arial"/>
          <w:color w:val="202124"/>
          <w:sz w:val="20"/>
          <w:szCs w:val="20"/>
          <w:lang w:eastAsia="pt-BR"/>
        </w:rPr>
        <w:t xml:space="preserve"> à presente ação rescisória, como dito, foi ajuizada em 17.8.1981 perante esta Suprema Corte. Quando de sua distribuição,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impedido</w:t>
      </w:r>
      <w:proofErr w:type="gramEnd"/>
      <w:r w:rsidRPr="00BD654D">
        <w:rPr>
          <w:rFonts w:ascii="Arial" w:eastAsia="Times New Roman" w:hAnsi="Arial" w:cs="Arial"/>
          <w:color w:val="202124"/>
          <w:sz w:val="20"/>
          <w:szCs w:val="20"/>
          <w:lang w:eastAsia="pt-BR"/>
        </w:rPr>
        <w:t xml:space="preserve"> o Ministro Soares </w:t>
      </w:r>
      <w:proofErr w:type="spellStart"/>
      <w:r w:rsidRPr="00BD654D">
        <w:rPr>
          <w:rFonts w:ascii="Arial" w:eastAsia="Times New Roman" w:hAnsi="Arial" w:cs="Arial"/>
          <w:color w:val="202124"/>
          <w:sz w:val="20"/>
          <w:szCs w:val="20"/>
          <w:lang w:eastAsia="pt-BR"/>
        </w:rPr>
        <w:t>Muñoz</w:t>
      </w:r>
      <w:proofErr w:type="spellEnd"/>
      <w:r w:rsidRPr="00BD654D">
        <w:rPr>
          <w:rFonts w:ascii="Arial" w:eastAsia="Times New Roman" w:hAnsi="Arial" w:cs="Arial"/>
          <w:color w:val="202124"/>
          <w:sz w:val="20"/>
          <w:szCs w:val="20"/>
          <w:lang w:eastAsia="pt-BR"/>
        </w:rPr>
        <w:t xml:space="preserve"> (10vol., fl. 769), foi o feito distribuído ao Ministro Firmino Paz (fl. 771).</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Os autores requereram, na inicial, a citação do réu por carta precatória e a de </w:t>
      </w:r>
      <w:proofErr w:type="spellStart"/>
      <w:r w:rsidRPr="00BD654D">
        <w:rPr>
          <w:rFonts w:ascii="Arial" w:eastAsia="Times New Roman" w:hAnsi="Arial" w:cs="Arial"/>
          <w:color w:val="202124"/>
          <w:sz w:val="20"/>
          <w:szCs w:val="20"/>
          <w:lang w:eastAsia="pt-BR"/>
        </w:rPr>
        <w:t>Genezi</w:t>
      </w:r>
      <w:proofErr w:type="spellEnd"/>
      <w:r w:rsidRPr="00BD654D">
        <w:rPr>
          <w:rFonts w:ascii="Arial" w:eastAsia="Times New Roman" w:hAnsi="Arial" w:cs="Arial"/>
          <w:color w:val="202124"/>
          <w:sz w:val="20"/>
          <w:szCs w:val="20"/>
          <w:lang w:eastAsia="pt-BR"/>
        </w:rPr>
        <w:t xml:space="preserve"> Mariano Moreira, por edital. Citada (fl. 789), esta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não</w:t>
      </w:r>
      <w:proofErr w:type="gramEnd"/>
      <w:r w:rsidRPr="00BD654D">
        <w:rPr>
          <w:rFonts w:ascii="Arial" w:eastAsia="Times New Roman" w:hAnsi="Arial" w:cs="Arial"/>
          <w:color w:val="202124"/>
          <w:sz w:val="20"/>
          <w:szCs w:val="20"/>
          <w:lang w:eastAsia="pt-BR"/>
        </w:rPr>
        <w:t xml:space="preserve"> se manifestou. Pelo despacho de fls. 853, foi-lhe nomeado curador especial o Dr. José Paulo Sepúlveda Pertence (posteriormente alçado a Ministro desta Suprema Corte), que então apresentou petição, argumentando ser, a finalidade da citação de </w:t>
      </w:r>
      <w:proofErr w:type="spellStart"/>
      <w:r w:rsidRPr="00BD654D">
        <w:rPr>
          <w:rFonts w:ascii="Arial" w:eastAsia="Times New Roman" w:hAnsi="Arial" w:cs="Arial"/>
          <w:color w:val="202124"/>
          <w:sz w:val="20"/>
          <w:szCs w:val="20"/>
          <w:lang w:eastAsia="pt-BR"/>
        </w:rPr>
        <w:t>Genezi</w:t>
      </w:r>
      <w:proofErr w:type="spellEnd"/>
      <w:r w:rsidRPr="00BD654D">
        <w:rPr>
          <w:rFonts w:ascii="Arial" w:eastAsia="Times New Roman" w:hAnsi="Arial" w:cs="Arial"/>
          <w:color w:val="202124"/>
          <w:sz w:val="20"/>
          <w:szCs w:val="20"/>
          <w:lang w:eastAsia="pt-BR"/>
        </w:rPr>
        <w:t xml:space="preserve"> Mariano, não 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busca</w:t>
      </w:r>
      <w:proofErr w:type="gramEnd"/>
      <w:r w:rsidRPr="00BD654D">
        <w:rPr>
          <w:rFonts w:ascii="Arial" w:eastAsia="Times New Roman" w:hAnsi="Arial" w:cs="Arial"/>
          <w:color w:val="202124"/>
          <w:sz w:val="20"/>
          <w:szCs w:val="20"/>
          <w:lang w:eastAsia="pt-BR"/>
        </w:rPr>
        <w:t xml:space="preserve"> da contestação da ação, mas sim sua eventual intervenção no processo como litisconsorte dos autores, razão pela qual argumentou ser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impossível</w:t>
      </w:r>
      <w:proofErr w:type="gramEnd"/>
      <w:r w:rsidRPr="00BD654D">
        <w:rPr>
          <w:rFonts w:ascii="Arial" w:eastAsia="Times New Roman" w:hAnsi="Arial" w:cs="Arial"/>
          <w:color w:val="202124"/>
          <w:sz w:val="20"/>
          <w:szCs w:val="20"/>
          <w:lang w:eastAsia="pt-BR"/>
        </w:rPr>
        <w:t xml:space="preserve"> o suprimento, pela nomeação de curador especial, da ausência de litisconsorte ativo citado por edital (fls. 856-7).</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Apreciando a petição, o Ministro Firmino Paz revogou a nomeação e prosseguiu com o feito (fl. 862).</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Citados por carta precatória juntada aos autos em 28.02.82 (fls. 793), Paulo Roberto Menezes e sua esposa ofereceram contestação em 14.9.82 na qual arguem, preliminarmente, inépcia da ação rescisória pela ausência de juntada de certidão do trânsito em julgado da decisão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rescindenda</w:t>
      </w:r>
      <w:proofErr w:type="gramEnd"/>
      <w:r w:rsidRPr="00BD654D">
        <w:rPr>
          <w:rFonts w:ascii="Arial" w:eastAsia="Times New Roman" w:hAnsi="Arial" w:cs="Arial"/>
          <w:color w:val="202124"/>
          <w:sz w:val="20"/>
          <w:szCs w:val="20"/>
          <w:lang w:eastAsia="pt-BR"/>
        </w:rPr>
        <w:t>, bem como a inexistência de decisão de mérito a ser rescindida, eis que o acórdão rescindendo cingiu-se a não conhecer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recurso</w:t>
      </w:r>
      <w:proofErr w:type="gramEnd"/>
      <w:r w:rsidRPr="00BD654D">
        <w:rPr>
          <w:rFonts w:ascii="Arial" w:eastAsia="Times New Roman" w:hAnsi="Arial" w:cs="Arial"/>
          <w:color w:val="202124"/>
          <w:sz w:val="20"/>
          <w:szCs w:val="20"/>
          <w:lang w:eastAsia="pt-BR"/>
        </w:rPr>
        <w:t xml:space="preserve"> extraordinário.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No mérito, rebatem as nulidades apontadas na inicial, bem como as violações aos dispositivos nela mencionados (fls. 866-83).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Os autores apresentaram réplica, reiterando os argumentos da inicial (fl. 906). Intimadas as partes para especificar as provas (fl. 807), não houve manifestação.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Saneado o feito já sob relatoria do Ministro Aldir Passarinho à fl. 909 (erroneamente grafada como “309”).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Intimadas as partes para oferecimento de razões finais, não houve manifestação conforme certidão de fl. 913 (erroneamente grafada como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“313”).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 Procurador-Geral da República Aristides Junqueira Alvarenga opinou pela improcedência da ação em parecer com a seguinte ementa: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“AÇÃO RESCISÓRIA - AÇÃO DE INVESTIGAÇÃO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PATERNIDADE - DECADÊNCIA (ART. 495 DO CPC)</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QUANTO ÀS QUESTÕES NÃO DEDUZIDAS DOS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EMBARGOS DE DIVERGÊNCIA - IMPROCEDÊNCIA 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AÇÃO NO QUE SE REFERE À ALEGADA VIOLAÇÃO À</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LITERAL DISPOSIÇÃO DO ART. 144, §6º, 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CONSTITUIÇÃO FEDERAL DE 1969 - INCOMPETÊNCIA 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SUPREMO QUANTO À OUTRA QUESTÃO, NÃO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APRECIADA NO RE POR FALTA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PREQUESTIONAMENTO.”</w:t>
      </w:r>
      <w:proofErr w:type="gramEnd"/>
      <w:r w:rsidRPr="00BD654D">
        <w:rPr>
          <w:rFonts w:ascii="Arial" w:eastAsia="Times New Roman" w:hAnsi="Arial" w:cs="Arial"/>
          <w:color w:val="202124"/>
          <w:sz w:val="20"/>
          <w:szCs w:val="20"/>
          <w:lang w:eastAsia="pt-BR"/>
        </w:rPr>
        <w:t xml:space="preserve"> (</w:t>
      </w:r>
      <w:proofErr w:type="gramStart"/>
      <w:r w:rsidRPr="00BD654D">
        <w:rPr>
          <w:rFonts w:ascii="Arial" w:eastAsia="Times New Roman" w:hAnsi="Arial" w:cs="Arial"/>
          <w:color w:val="202124"/>
          <w:sz w:val="20"/>
          <w:szCs w:val="20"/>
          <w:lang w:eastAsia="pt-BR"/>
        </w:rPr>
        <w:t>fls</w:t>
      </w:r>
      <w:proofErr w:type="gramEnd"/>
      <w:r w:rsidRPr="00BD654D">
        <w:rPr>
          <w:rFonts w:ascii="Arial" w:eastAsia="Times New Roman" w:hAnsi="Arial" w:cs="Arial"/>
          <w:color w:val="202124"/>
          <w:sz w:val="20"/>
          <w:szCs w:val="20"/>
          <w:lang w:eastAsia="pt-BR"/>
        </w:rPr>
        <w:t>. 916-22, erroneamente grafadas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como</w:t>
      </w:r>
      <w:proofErr w:type="gramEnd"/>
      <w:r w:rsidRPr="00BD654D">
        <w:rPr>
          <w:rFonts w:ascii="Arial" w:eastAsia="Times New Roman" w:hAnsi="Arial" w:cs="Arial"/>
          <w:color w:val="202124"/>
          <w:sz w:val="20"/>
          <w:szCs w:val="20"/>
          <w:lang w:eastAsia="pt-BR"/>
        </w:rPr>
        <w:t xml:space="preserve"> “316-22”).</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Os autos foram conclusos em 18.10.2001 ao Ministro Néri da Silveira, então relator, redistribuídos ao Ministro Gilmar Mendes em 20.6.2002, à Ministra Ellen Gracie em 07.5.2008 e finalmente para mim em 19.12.2011.</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É o relatório. Decido.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Trata-se de ação rescisória ajuizada em 17.8.1981, visando à desconstituição de acórdão, publicado em 12.9.1979, mediante o qual 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Pleno deste Supremo Tribunal Federal negou provimento a agravo regimental, de decisão monocrática que não admitiu embargos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divergência</w:t>
      </w:r>
      <w:proofErr w:type="gramEnd"/>
      <w:r w:rsidRPr="00BD654D">
        <w:rPr>
          <w:rFonts w:ascii="Arial" w:eastAsia="Times New Roman" w:hAnsi="Arial" w:cs="Arial"/>
          <w:color w:val="202124"/>
          <w:sz w:val="20"/>
          <w:szCs w:val="20"/>
          <w:lang w:eastAsia="pt-BR"/>
        </w:rPr>
        <w:t xml:space="preserve"> de acórdão da Primeira Turma que não conheceu do recurso extraordinário nº 77.956/RS.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Realizado o depósito prévio de que trata o art. 488, II, do CPC/1973, na quantia de Cr$ 500,00 (quinhentos cruzeiros) conforme certificado nos autos (10vol., fl. 772).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Não foi juntada, com a inicial, certidão do trânsito em julgado do acórdão rescindendo e tal fato foi alegado pelo réu, em preliminar na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contestação</w:t>
      </w:r>
      <w:proofErr w:type="gramEnd"/>
      <w:r w:rsidRPr="00BD654D">
        <w:rPr>
          <w:rFonts w:ascii="Arial" w:eastAsia="Times New Roman" w:hAnsi="Arial" w:cs="Arial"/>
          <w:color w:val="202124"/>
          <w:sz w:val="20"/>
          <w:szCs w:val="20"/>
          <w:lang w:eastAsia="pt-BR"/>
        </w:rPr>
        <w:t>. Todavia, pela data da publicação do acórdão, possível constatar que a propositura da rescisória se deu no biênio decadencial, se dali contado o prazo. Ademais não se alegou, na contestação, o eventual “não trânsito em julgado”, o que poderia, hipoteticamente, esvaziar de fato a pretensão rescisória por falta de interesse de agir.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Assim, fundada no princípio da instrumentalidade das formas, afasto a alegada preliminar de inépcia pela ausência do referido documento.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 outra preliminar se refere à inexistência de decisão de mérito desta Corte Suprema a ser rescindida. Na hipótese dos autos, conquanto efetivamente esta Corte não tenha conhecido de quaisquer dos três recursos extraordinários interpostos, apreciou, salvo quanto ao primeiro ponto alegado nesta rescisória, as questões federais e constitucionais ali controvertidas. Tal pode ser verificado pela simples leitura das ementas dos julgados que novamente reproduzo: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“AÇÃO DE INVESTIGAÇÃO DE PATERNIDADE CUMULADA COM PETIÇÃO DE HERANÇA.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Juiz que, depois de se dar por suspeito, reconsiderou sua posição anterior, e, com a aceitação das partes julgou a causa.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Dissídio de Jurisprudência não comprovado.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Alegação de irregular composição do Tribunal a quo. Inexistência de violação do artigo 144, § 6º, da Constituição, 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do</w:t>
      </w:r>
      <w:proofErr w:type="gramEnd"/>
      <w:r w:rsidRPr="00BD654D">
        <w:rPr>
          <w:rFonts w:ascii="Arial" w:eastAsia="Times New Roman" w:hAnsi="Arial" w:cs="Arial"/>
          <w:color w:val="202124"/>
          <w:sz w:val="20"/>
          <w:szCs w:val="20"/>
          <w:lang w:eastAsia="pt-BR"/>
        </w:rPr>
        <w:t xml:space="preserve"> artigo 182, §1º, do Código de Processo Civil de 1939.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 Falta de negativa de vigência dos artigos 120, 233, parágrafo único, e 188 do Código de Processo Civil de 1939.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Falta de nomeação de curador à lide. Razoabilidade do entendimento de que, havendo litisconsórcio necessário, haveria representação, em juízo, da herdeira que foi citada por edital. Súmula 400.</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Não cabimento de recurso extraordinário contra despacho que indeferiu liminarmente os embargos de declaração.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Recursos extraordinários não </w:t>
      </w:r>
      <w:proofErr w:type="gramStart"/>
      <w:r w:rsidRPr="00BD654D">
        <w:rPr>
          <w:rFonts w:ascii="Arial" w:eastAsia="Times New Roman" w:hAnsi="Arial" w:cs="Arial"/>
          <w:color w:val="202124"/>
          <w:sz w:val="20"/>
          <w:szCs w:val="20"/>
          <w:lang w:eastAsia="pt-BR"/>
        </w:rPr>
        <w:t>conhecidos.”</w:t>
      </w:r>
      <w:proofErr w:type="gramEnd"/>
      <w:r w:rsidRPr="00BD654D">
        <w:rPr>
          <w:rFonts w:ascii="Arial" w:eastAsia="Times New Roman" w:hAnsi="Arial" w:cs="Arial"/>
          <w:color w:val="202124"/>
          <w:sz w:val="20"/>
          <w:szCs w:val="20"/>
          <w:lang w:eastAsia="pt-BR"/>
        </w:rPr>
        <w:t xml:space="preserve"> (RE 77.956/RS, Primeira Turma, Rel. Ministro Antônio Neder, DJ 23.02.79)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“EMBARGOS DE DECLARAÇÃO. ERRO DO ACÓRDÃO EMBARGADO QUANTO À DECISÃO QUE SE DIRIGIRA UM DOS RECURSOS EXTRAORDINÁRIOS INTERPOSTOS.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Novo julgamento do recurso extraordinário em causa, e seu não conhecimento, por falta de prequestionamento (súmulas 282 e 356) da questão relativa à valorização de prova, que não foi sequer objeto da petição dos embargos declaratórios interpostos na instância ordinária.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Embargos de declaração recebidos para o efeito de novo julgamento do recurso extraordinário em causa, que julgado, não foi </w:t>
      </w:r>
      <w:proofErr w:type="gramStart"/>
      <w:r w:rsidRPr="00BD654D">
        <w:rPr>
          <w:rFonts w:ascii="Arial" w:eastAsia="Times New Roman" w:hAnsi="Arial" w:cs="Arial"/>
          <w:color w:val="202124"/>
          <w:sz w:val="20"/>
          <w:szCs w:val="20"/>
          <w:lang w:eastAsia="pt-BR"/>
        </w:rPr>
        <w:t>conhecido.”</w:t>
      </w:r>
      <w:proofErr w:type="gramEnd"/>
      <w:r w:rsidRPr="00BD654D">
        <w:rPr>
          <w:rFonts w:ascii="Arial" w:eastAsia="Times New Roman" w:hAnsi="Arial" w:cs="Arial"/>
          <w:color w:val="202124"/>
          <w:sz w:val="20"/>
          <w:szCs w:val="20"/>
          <w:lang w:eastAsia="pt-BR"/>
        </w:rPr>
        <w:t xml:space="preserve"> (RE 77.956ED/RS, Primeira Turma, Rel. Ministro Moreira Alves, DJ 30.5.79).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Esta constatação atrai a aplicação da Súmula nº 249 desta Suprema Corte: “É competente o Supremo Tribunal Federal para a ação rescisória,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quando</w:t>
      </w:r>
      <w:proofErr w:type="gramEnd"/>
      <w:r w:rsidRPr="00BD654D">
        <w:rPr>
          <w:rFonts w:ascii="Arial" w:eastAsia="Times New Roman" w:hAnsi="Arial" w:cs="Arial"/>
          <w:color w:val="202124"/>
          <w:sz w:val="20"/>
          <w:szCs w:val="20"/>
          <w:lang w:eastAsia="pt-BR"/>
        </w:rPr>
        <w:t>, embora não tendo conhecido do recurso extraordinário, ou havendo negado provimento ao agravo, tiver apreciado a questão federal controvertida”.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Por este motivo, afasto também a preliminar.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No mérito, a rescisória não merece prosperar. Quanto ao argumento da decadência, de fato o primeiro e o terceiro temas trazidos na inicial desta ação rescisória – (i) o fato de o juiz se considerar suspeito e voltar a julgar o feito e (</w:t>
      </w:r>
      <w:proofErr w:type="spellStart"/>
      <w:r w:rsidRPr="00BD654D">
        <w:rPr>
          <w:rFonts w:ascii="Arial" w:eastAsia="Times New Roman" w:hAnsi="Arial" w:cs="Arial"/>
          <w:color w:val="202124"/>
          <w:sz w:val="20"/>
          <w:szCs w:val="20"/>
          <w:lang w:eastAsia="pt-BR"/>
        </w:rPr>
        <w:t>iii</w:t>
      </w:r>
      <w:proofErr w:type="spellEnd"/>
      <w:r w:rsidRPr="00BD654D">
        <w:rPr>
          <w:rFonts w:ascii="Arial" w:eastAsia="Times New Roman" w:hAnsi="Arial" w:cs="Arial"/>
          <w:color w:val="202124"/>
          <w:sz w:val="20"/>
          <w:szCs w:val="20"/>
          <w:lang w:eastAsia="pt-BR"/>
        </w:rPr>
        <w:t>) a falta de nomeação de curador à lide a ré revel citada por edital –, como apontado pelo Procurador-Geral da República em seu parecer, são questões que não foram objeto dos embargos de divergência opostos em 06.6.1979 (fls. 732-40) e do sucessivo agravo regimental.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Possível, portanto, mormente porque mais de um recurso extraordinário fora proposto, concluir que sobre tais temas operou-se o trânsito em julgado naquele momento, daí porque, considerada a data da propositura desta ação rescisória (17.8.1981), são temas sobre os quais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operou</w:t>
      </w:r>
      <w:proofErr w:type="gramEnd"/>
      <w:r w:rsidRPr="00BD654D">
        <w:rPr>
          <w:rFonts w:ascii="Arial" w:eastAsia="Times New Roman" w:hAnsi="Arial" w:cs="Arial"/>
          <w:color w:val="202124"/>
          <w:sz w:val="20"/>
          <w:szCs w:val="20"/>
          <w:lang w:eastAsia="pt-BR"/>
        </w:rPr>
        <w:t xml:space="preserve">-se a decadência.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Neste sentido o seguinte julgado do Pleno desta Corte Suprema: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“COISA JULGADA – PRONUNCIAMENTO JUDICIAL – CAPÍTULOS AUTÔNOMOS. Os capítulos autônomos do pronunciamento judicial </w:t>
      </w:r>
      <w:proofErr w:type="spellStart"/>
      <w:r w:rsidRPr="00BD654D">
        <w:rPr>
          <w:rFonts w:ascii="Arial" w:eastAsia="Times New Roman" w:hAnsi="Arial" w:cs="Arial"/>
          <w:color w:val="202124"/>
          <w:sz w:val="20"/>
          <w:szCs w:val="20"/>
          <w:lang w:eastAsia="pt-BR"/>
        </w:rPr>
        <w:t>precluem</w:t>
      </w:r>
      <w:proofErr w:type="spellEnd"/>
      <w:r w:rsidRPr="00BD654D">
        <w:rPr>
          <w:rFonts w:ascii="Arial" w:eastAsia="Times New Roman" w:hAnsi="Arial" w:cs="Arial"/>
          <w:color w:val="202124"/>
          <w:sz w:val="20"/>
          <w:szCs w:val="20"/>
          <w:lang w:eastAsia="pt-BR"/>
        </w:rPr>
        <w:t xml:space="preserve"> no que não atacados por meio de recurso, surgindo, ante o fenômeno, o termo inicial do biênio decadencial para a propositura da rescisória.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DECADÊNCIA – AÇÃO RESCISÓRIA – BIÊNIO – TERMO INICIAL. O termo inicial de prazo de decadência para a propositura da ação rescisória coincide com a data do trânsito em julgado do título rescindendo. Recurso inadmissível não tem o efeito de empecer a </w:t>
      </w:r>
      <w:proofErr w:type="gramStart"/>
      <w:r w:rsidRPr="00BD654D">
        <w:rPr>
          <w:rFonts w:ascii="Arial" w:eastAsia="Times New Roman" w:hAnsi="Arial" w:cs="Arial"/>
          <w:color w:val="202124"/>
          <w:sz w:val="20"/>
          <w:szCs w:val="20"/>
          <w:lang w:eastAsia="pt-BR"/>
        </w:rPr>
        <w:t>preclusão.”</w:t>
      </w:r>
      <w:proofErr w:type="gramEnd"/>
      <w:r w:rsidRPr="00BD654D">
        <w:rPr>
          <w:rFonts w:ascii="Arial" w:eastAsia="Times New Roman" w:hAnsi="Arial" w:cs="Arial"/>
          <w:color w:val="202124"/>
          <w:sz w:val="20"/>
          <w:szCs w:val="20"/>
          <w:lang w:eastAsia="pt-BR"/>
        </w:rPr>
        <w:t xml:space="preserve"> (AI 654291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w:t>
      </w:r>
      <w:proofErr w:type="spellStart"/>
      <w:r w:rsidRPr="00BD654D">
        <w:rPr>
          <w:rFonts w:ascii="Arial" w:eastAsia="Times New Roman" w:hAnsi="Arial" w:cs="Arial"/>
          <w:color w:val="202124"/>
          <w:sz w:val="20"/>
          <w:szCs w:val="20"/>
          <w:lang w:eastAsia="pt-BR"/>
        </w:rPr>
        <w:t>AgRAgR</w:t>
      </w:r>
      <w:proofErr w:type="spellEnd"/>
      <w:r w:rsidRPr="00BD654D">
        <w:rPr>
          <w:rFonts w:ascii="Arial" w:eastAsia="Times New Roman" w:hAnsi="Arial" w:cs="Arial"/>
          <w:color w:val="202124"/>
          <w:sz w:val="20"/>
          <w:szCs w:val="20"/>
          <w:lang w:eastAsia="pt-BR"/>
        </w:rPr>
        <w:t>-ED-ED-</w:t>
      </w:r>
      <w:proofErr w:type="spellStart"/>
      <w:r w:rsidRPr="00BD654D">
        <w:rPr>
          <w:rFonts w:ascii="Arial" w:eastAsia="Times New Roman" w:hAnsi="Arial" w:cs="Arial"/>
          <w:color w:val="202124"/>
          <w:sz w:val="20"/>
          <w:szCs w:val="20"/>
          <w:lang w:eastAsia="pt-BR"/>
        </w:rPr>
        <w:t>EDv</w:t>
      </w:r>
      <w:proofErr w:type="spellEnd"/>
      <w:r w:rsidRPr="00BD654D">
        <w:rPr>
          <w:rFonts w:ascii="Arial" w:eastAsia="Times New Roman" w:hAnsi="Arial" w:cs="Arial"/>
          <w:color w:val="202124"/>
          <w:sz w:val="20"/>
          <w:szCs w:val="20"/>
          <w:lang w:eastAsia="pt-BR"/>
        </w:rPr>
        <w:t>-</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Relator Ministro Marco Aurélio,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22.2.2016, destaquei).</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Mas, ainda que não se entenda tratar-se de capítulos autônomos aqueles que cuidaram, no julgado rescindendo, dos dois temas já citados,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ou</w:t>
      </w:r>
      <w:proofErr w:type="gramEnd"/>
      <w:r w:rsidRPr="00BD654D">
        <w:rPr>
          <w:rFonts w:ascii="Arial" w:eastAsia="Times New Roman" w:hAnsi="Arial" w:cs="Arial"/>
          <w:color w:val="202124"/>
          <w:sz w:val="20"/>
          <w:szCs w:val="20"/>
          <w:lang w:eastAsia="pt-BR"/>
        </w:rPr>
        <w:t xml:space="preserve"> ainda, para os que repelem a possibilidade do reconhecimento da decadência “por capítulos”, outro motivo leva à negativa de seguimento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desta</w:t>
      </w:r>
      <w:proofErr w:type="gramEnd"/>
      <w:r w:rsidRPr="00BD654D">
        <w:rPr>
          <w:rFonts w:ascii="Arial" w:eastAsia="Times New Roman" w:hAnsi="Arial" w:cs="Arial"/>
          <w:color w:val="202124"/>
          <w:sz w:val="20"/>
          <w:szCs w:val="20"/>
          <w:lang w:eastAsia="pt-BR"/>
        </w:rPr>
        <w:t xml:space="preserve"> rescisória, aí também a incluir os outros temas de que nela se cuida. Trata-se da ausência de demonstração, pelos autores, de confronto evidente ou manifesto a norma jurídica, requisito há muito exigido por este Supremo Tribunal na exegese do art. 485, V, </w:t>
      </w:r>
      <w:r w:rsidRPr="00BD654D">
        <w:rPr>
          <w:rFonts w:ascii="Arial" w:eastAsia="Times New Roman" w:hAnsi="Arial" w:cs="Arial"/>
          <w:color w:val="202124"/>
          <w:sz w:val="20"/>
          <w:szCs w:val="20"/>
          <w:lang w:eastAsia="pt-BR"/>
        </w:rPr>
        <w:lastRenderedPageBreak/>
        <w:t xml:space="preserve">do CPC/1973, cuja redação foi razoavelmente modificada pelo art. 966, V, do CPC/2015, aproximando-se do entendimento jurisprudencial.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Transcrevo os dispositivos (destaquei): CPC/1973: “Art. 485. A sentença de mérito, transitada em julgado, pode ser rescindida quando: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V - violar literal disposição de </w:t>
      </w:r>
      <w:proofErr w:type="gramStart"/>
      <w:r w:rsidRPr="00BD654D">
        <w:rPr>
          <w:rFonts w:ascii="Arial" w:eastAsia="Times New Roman" w:hAnsi="Arial" w:cs="Arial"/>
          <w:color w:val="202124"/>
          <w:sz w:val="20"/>
          <w:szCs w:val="20"/>
          <w:lang w:eastAsia="pt-BR"/>
        </w:rPr>
        <w:t>lei;”</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CPC/2015: “Art. 966. A decisão de mérito, transitada em julgado, pode ser rescindida quando: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V - violar manifestamente norma </w:t>
      </w:r>
      <w:proofErr w:type="gramStart"/>
      <w:r w:rsidRPr="00BD654D">
        <w:rPr>
          <w:rFonts w:ascii="Arial" w:eastAsia="Times New Roman" w:hAnsi="Arial" w:cs="Arial"/>
          <w:color w:val="202124"/>
          <w:sz w:val="20"/>
          <w:szCs w:val="20"/>
          <w:lang w:eastAsia="pt-BR"/>
        </w:rPr>
        <w:t>jurídica;”</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Veja-se que a jurisprudência desta Corte já exigia a flagrante e manifesta violação do preceito legal mesmo sob a égide do Código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Processo Civil de 1973: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“AÇÃO RECISÓRIA. INCS. V e IX E §§ 1º E 2º DO ART. 485 DO CPC. ERRO DE FATO. INEXISTÊNCIA. VIOLAÇÃO LITERAL DE DISPOSTIVO DE LEI NÃO DEMONSTRADA. IMPROCEDÊNCIA.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1. O erro de fato consiste em a sentença ou o acórdão "admitir um fato inexistente" ou então "considerar inexistente um fato efetivamente ocorrido", em razão de atos ou de documentos da causa. Não há erro quando a decisão impugnada apenas contraria as pretensões do autor. 2. Os dispositivos legais foram adequadamente abordados no acórdão rescindendo, o que impõe o óbice do § </w:t>
      </w:r>
      <w:proofErr w:type="gramStart"/>
      <w:r w:rsidRPr="00BD654D">
        <w:rPr>
          <w:rFonts w:ascii="Arial" w:eastAsia="Times New Roman" w:hAnsi="Arial" w:cs="Arial"/>
          <w:color w:val="202124"/>
          <w:sz w:val="20"/>
          <w:szCs w:val="20"/>
          <w:lang w:eastAsia="pt-BR"/>
        </w:rPr>
        <w:t>2.°</w:t>
      </w:r>
      <w:proofErr w:type="gramEnd"/>
      <w:r w:rsidRPr="00BD654D">
        <w:rPr>
          <w:rFonts w:ascii="Arial" w:eastAsia="Times New Roman" w:hAnsi="Arial" w:cs="Arial"/>
          <w:color w:val="202124"/>
          <w:sz w:val="20"/>
          <w:szCs w:val="20"/>
          <w:lang w:eastAsia="pt-BR"/>
        </w:rPr>
        <w:t xml:space="preserve"> do art. 485 do CPC.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3. Indispensável que a decisão rescindenda seja manifestamente contrária a norma legal apontada, gerando imperfeição da decisão de mérito que, por esse motivo, não pode subsistir.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4. Permissivos processuais não demonstrados pelo autor, o que impõe a improcedência da presente ação </w:t>
      </w:r>
      <w:proofErr w:type="gramStart"/>
      <w:r w:rsidRPr="00BD654D">
        <w:rPr>
          <w:rFonts w:ascii="Arial" w:eastAsia="Times New Roman" w:hAnsi="Arial" w:cs="Arial"/>
          <w:color w:val="202124"/>
          <w:sz w:val="20"/>
          <w:szCs w:val="20"/>
          <w:lang w:eastAsia="pt-BR"/>
        </w:rPr>
        <w:t>rescisória.”</w:t>
      </w:r>
      <w:proofErr w:type="gramEnd"/>
      <w:r w:rsidRPr="00BD654D">
        <w:rPr>
          <w:rFonts w:ascii="Arial" w:eastAsia="Times New Roman" w:hAnsi="Arial" w:cs="Arial"/>
          <w:color w:val="202124"/>
          <w:sz w:val="20"/>
          <w:szCs w:val="20"/>
          <w:lang w:eastAsia="pt-BR"/>
        </w:rPr>
        <w:t xml:space="preserve"> (AR 1470, Relator Ministro Marco Aurélio, Relatora p/ Acórdão: Ministra Ellen Gracie, Tribunal Pleno, DJ 22.9.2006, destaquei)</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“AÇÃO RESCISÓRIA – AUSÊNCIA DO PRESSUPOSTO DE RESCINDIBILIDADE A QUE SE REFERE O ART. 485, INCISO V, DO CPC – INOCORRÊNCIA DE VIOLAÇÃO FLAGRANTE E MANIFESTA A PRECEITO LEGAL – UTILIZAÇÃO INADEQUADA DESSA AÇÃO AUTÔNOMA DE IMPUGNAÇÃO – INADMISSIBILIDADE – PARECER DA PROCURADORIA-GERAL DA REPÚBLICA PELO NÃO PROVIMENTO DO ‘AGRAVO REGIMENTAL’ – RECURSO DE AGRAVO IMPROVIDO. (AR 1725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Relator Ministro Celso de Mello, Tribunal Pleno,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06.11.2015, destaquei)</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“AGRAVO REGIMENTAL. AÇÃO RESCISÓRIA. ART. 485, V, DO CÓDIGO DE PROCESSO CIVIL. DECISÃO RESCINDENDA. RECONHECIMENTO DO DIREITO DE SERVIDORES DO DISTRITO FEDERAL AO PERCENTUAL DE 84.32%, SEM QUALQUER PRONUNCIAMENTO QUANTO AOS EMPREGADOS CELETISTAS. MANIFESTA CONTRARIEDADE AO INCISO XXXVI DO ART. 5º DA CONSTITUIÇÃO FEDERAL. NÃO CONFIGURAÇÃO, NAS CIRCUNSTÂNCIAS DO CASO. AGRAVO REGIMENTAL A QUE SE NEGA </w:t>
      </w:r>
      <w:proofErr w:type="gramStart"/>
      <w:r w:rsidRPr="00BD654D">
        <w:rPr>
          <w:rFonts w:ascii="Arial" w:eastAsia="Times New Roman" w:hAnsi="Arial" w:cs="Arial"/>
          <w:color w:val="202124"/>
          <w:sz w:val="20"/>
          <w:szCs w:val="20"/>
          <w:lang w:eastAsia="pt-BR"/>
        </w:rPr>
        <w:t>PROVIMENTO.”</w:t>
      </w:r>
      <w:proofErr w:type="gramEnd"/>
      <w:r w:rsidRPr="00BD654D">
        <w:rPr>
          <w:rFonts w:ascii="Arial" w:eastAsia="Times New Roman" w:hAnsi="Arial" w:cs="Arial"/>
          <w:color w:val="202124"/>
          <w:sz w:val="20"/>
          <w:szCs w:val="20"/>
          <w:lang w:eastAsia="pt-BR"/>
        </w:rPr>
        <w:t xml:space="preserve"> (AR 2002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Relator Ministro </w:t>
      </w:r>
      <w:proofErr w:type="spellStart"/>
      <w:r w:rsidRPr="00BD654D">
        <w:rPr>
          <w:rFonts w:ascii="Arial" w:eastAsia="Times New Roman" w:hAnsi="Arial" w:cs="Arial"/>
          <w:color w:val="202124"/>
          <w:sz w:val="20"/>
          <w:szCs w:val="20"/>
          <w:lang w:eastAsia="pt-BR"/>
        </w:rPr>
        <w:t>Teori</w:t>
      </w:r>
      <w:proofErr w:type="spellEnd"/>
      <w:r w:rsidRPr="00BD654D">
        <w:rPr>
          <w:rFonts w:ascii="Arial" w:eastAsia="Times New Roman" w:hAnsi="Arial" w:cs="Arial"/>
          <w:color w:val="202124"/>
          <w:sz w:val="20"/>
          <w:szCs w:val="20"/>
          <w:lang w:eastAsia="pt-BR"/>
        </w:rPr>
        <w:t xml:space="preserve"> Zavascki, Tribunal Pleno,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16.3.2016).</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 análise comparativa entre os fatos invocados na </w:t>
      </w:r>
      <w:proofErr w:type="gramStart"/>
      <w:r w:rsidRPr="00BD654D">
        <w:rPr>
          <w:rFonts w:ascii="Arial" w:eastAsia="Times New Roman" w:hAnsi="Arial" w:cs="Arial"/>
          <w:color w:val="202124"/>
          <w:sz w:val="20"/>
          <w:szCs w:val="20"/>
          <w:lang w:eastAsia="pt-BR"/>
        </w:rPr>
        <w:t>presente rescisória</w:t>
      </w:r>
      <w:proofErr w:type="gramEnd"/>
      <w:r w:rsidRPr="00BD654D">
        <w:rPr>
          <w:rFonts w:ascii="Arial" w:eastAsia="Times New Roman" w:hAnsi="Arial" w:cs="Arial"/>
          <w:color w:val="202124"/>
          <w:sz w:val="20"/>
          <w:szCs w:val="20"/>
          <w:lang w:eastAsia="pt-BR"/>
        </w:rPr>
        <w:t xml:space="preserve"> – como ensejadores de nulidade do processo – e a forma como abordados por esta Suprema Corte quando do julgamento dos recursos extraordinários, é suficiente a afastar a presença de qualquer violação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manifesta</w:t>
      </w:r>
      <w:proofErr w:type="gramEnd"/>
      <w:r w:rsidRPr="00BD654D">
        <w:rPr>
          <w:rFonts w:ascii="Arial" w:eastAsia="Times New Roman" w:hAnsi="Arial" w:cs="Arial"/>
          <w:color w:val="202124"/>
          <w:sz w:val="20"/>
          <w:szCs w:val="20"/>
          <w:lang w:eastAsia="pt-BR"/>
        </w:rPr>
        <w:t xml:space="preserve"> às normas invocadas.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Sobre o fato de (i) o juiz se considerar suspeito e voltar a julgar o feito, o STF não conheceu do recurso extraordinário por falta de comprovação do dissídio jurisprudencial (fl. 702), argumento por si só capaz de afastar a apontada violação do art. 119 do CPC/1939, cujo teor transcrevo: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“Art. 119. O juiz que se declarar suspeito motivará o despacho.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 1º Se a suspeição </w:t>
      </w:r>
      <w:proofErr w:type="spellStart"/>
      <w:r w:rsidRPr="00BD654D">
        <w:rPr>
          <w:rFonts w:ascii="Arial" w:eastAsia="Times New Roman" w:hAnsi="Arial" w:cs="Arial"/>
          <w:color w:val="202124"/>
          <w:sz w:val="20"/>
          <w:szCs w:val="20"/>
          <w:lang w:eastAsia="pt-BR"/>
        </w:rPr>
        <w:t>fôr</w:t>
      </w:r>
      <w:proofErr w:type="spellEnd"/>
      <w:r w:rsidRPr="00BD654D">
        <w:rPr>
          <w:rFonts w:ascii="Arial" w:eastAsia="Times New Roman" w:hAnsi="Arial" w:cs="Arial"/>
          <w:color w:val="202124"/>
          <w:sz w:val="20"/>
          <w:szCs w:val="20"/>
          <w:lang w:eastAsia="pt-BR"/>
        </w:rPr>
        <w:t xml:space="preserve"> de natureza intima, comunicará os motivos ao órgão disciplinar competente.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 xml:space="preserve">§ 2º O não cumprimento desse dever, ou a improcedência dos motivos, que serão apreciados em segredo de justiça, sujeitará o juiz à pena de </w:t>
      </w:r>
      <w:proofErr w:type="gramStart"/>
      <w:r w:rsidRPr="00BD654D">
        <w:rPr>
          <w:rFonts w:ascii="Arial" w:eastAsia="Times New Roman" w:hAnsi="Arial" w:cs="Arial"/>
          <w:color w:val="202124"/>
          <w:sz w:val="20"/>
          <w:szCs w:val="20"/>
          <w:lang w:eastAsia="pt-BR"/>
        </w:rPr>
        <w:t>advertência.”</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Não houve, no específico ponto, qualquer enfrentamento ou deliberação da Corte a possibilitar a violação da apontada norma. Destarte, quanto a esta exclusiva alegação, sequer competente o Supremo Tribunal Federal para julgar a rescisória, conforme se extrai do disposto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na</w:t>
      </w:r>
      <w:proofErr w:type="gramEnd"/>
      <w:r w:rsidRPr="00BD654D">
        <w:rPr>
          <w:rFonts w:ascii="Arial" w:eastAsia="Times New Roman" w:hAnsi="Arial" w:cs="Arial"/>
          <w:color w:val="202124"/>
          <w:sz w:val="20"/>
          <w:szCs w:val="20"/>
          <w:lang w:eastAsia="pt-BR"/>
        </w:rPr>
        <w:t xml:space="preserve"> Súmula 249.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Sobre a alegada nulidade decorrente da (</w:t>
      </w:r>
      <w:proofErr w:type="spellStart"/>
      <w:r w:rsidRPr="00BD654D">
        <w:rPr>
          <w:rFonts w:ascii="Arial" w:eastAsia="Times New Roman" w:hAnsi="Arial" w:cs="Arial"/>
          <w:color w:val="202124"/>
          <w:sz w:val="20"/>
          <w:szCs w:val="20"/>
          <w:lang w:eastAsia="pt-BR"/>
        </w:rPr>
        <w:t>ii</w:t>
      </w:r>
      <w:proofErr w:type="spellEnd"/>
      <w:r w:rsidRPr="00BD654D">
        <w:rPr>
          <w:rFonts w:ascii="Arial" w:eastAsia="Times New Roman" w:hAnsi="Arial" w:cs="Arial"/>
          <w:color w:val="202124"/>
          <w:sz w:val="20"/>
          <w:szCs w:val="20"/>
          <w:lang w:eastAsia="pt-BR"/>
        </w:rPr>
        <w:t>) reiteração da convocação de magistrado para julgar apelação após anulação do julgamento anterior, transcrevo o dispositivo apontado como violado, qual seja, o art. 144, § 6º, da Constituição Federal de 1967, com a redação da EC nº 1/1969: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“Art. 144. Os Estados organizarão a sua justiça, observados os artigos 113 a 117 desta Constituição e os dispositivos seguintes: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 6º Dependerá de proposta do Tribunal de Justiça a alteração do número de seus membros ou dos membros dos tribunais inferiores de segunda </w:t>
      </w:r>
      <w:proofErr w:type="gramStart"/>
      <w:r w:rsidRPr="00BD654D">
        <w:rPr>
          <w:rFonts w:ascii="Arial" w:eastAsia="Times New Roman" w:hAnsi="Arial" w:cs="Arial"/>
          <w:color w:val="202124"/>
          <w:sz w:val="20"/>
          <w:szCs w:val="20"/>
          <w:lang w:eastAsia="pt-BR"/>
        </w:rPr>
        <w:t>instância.”</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 STF, ao julgamento do recurso extraordinário dos autores, nos termos do voto do Ministro Moreira Alves, afastou a apontada violação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nos</w:t>
      </w:r>
      <w:proofErr w:type="gramEnd"/>
      <w:r w:rsidRPr="00BD654D">
        <w:rPr>
          <w:rFonts w:ascii="Arial" w:eastAsia="Times New Roman" w:hAnsi="Arial" w:cs="Arial"/>
          <w:color w:val="202124"/>
          <w:sz w:val="20"/>
          <w:szCs w:val="20"/>
          <w:lang w:eastAsia="pt-BR"/>
        </w:rPr>
        <w:t xml:space="preserve"> seguintes termos: “O art. 144, § 6º, estabelece apenas uma norma de competência para a alteração do número de desembargadores. No caso, não há qualquer violação a esse princípio, uma vez que o número de desembargadores não chegou a ser alterado. O que houve foi somente prorrogação da competência de juiz-substituto para continuar como juiz certo, em determinado feito” (fl. 696).</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Como se verifica, a norma tida por violada se refere à organização judiciária e à atribuição exclusiva do Tribunal de Justiça para propor 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alteração</w:t>
      </w:r>
      <w:proofErr w:type="gramEnd"/>
      <w:r w:rsidRPr="00BD654D">
        <w:rPr>
          <w:rFonts w:ascii="Arial" w:eastAsia="Times New Roman" w:hAnsi="Arial" w:cs="Arial"/>
          <w:color w:val="202124"/>
          <w:sz w:val="20"/>
          <w:szCs w:val="20"/>
          <w:lang w:eastAsia="pt-BR"/>
        </w:rPr>
        <w:t xml:space="preserve"> do número de seus membros, tema diverso e sequer capaz de tangenciar a nulidade apontada pelos autores no fato ventilado. Ausente, portanto, qualquer violação manifesta à norma invocada.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Sobre a (</w:t>
      </w:r>
      <w:proofErr w:type="spellStart"/>
      <w:r w:rsidRPr="00BD654D">
        <w:rPr>
          <w:rFonts w:ascii="Arial" w:eastAsia="Times New Roman" w:hAnsi="Arial" w:cs="Arial"/>
          <w:color w:val="202124"/>
          <w:sz w:val="20"/>
          <w:szCs w:val="20"/>
          <w:lang w:eastAsia="pt-BR"/>
        </w:rPr>
        <w:t>iii</w:t>
      </w:r>
      <w:proofErr w:type="spellEnd"/>
      <w:r w:rsidRPr="00BD654D">
        <w:rPr>
          <w:rFonts w:ascii="Arial" w:eastAsia="Times New Roman" w:hAnsi="Arial" w:cs="Arial"/>
          <w:color w:val="202124"/>
          <w:sz w:val="20"/>
          <w:szCs w:val="20"/>
          <w:lang w:eastAsia="pt-BR"/>
        </w:rPr>
        <w:t xml:space="preserve">) falta de nomeação de curador à lide a ré revel citada por edital e a alegada violação dos </w:t>
      </w:r>
      <w:proofErr w:type="spellStart"/>
      <w:r w:rsidRPr="00BD654D">
        <w:rPr>
          <w:rFonts w:ascii="Arial" w:eastAsia="Times New Roman" w:hAnsi="Arial" w:cs="Arial"/>
          <w:color w:val="202124"/>
          <w:sz w:val="20"/>
          <w:szCs w:val="20"/>
          <w:lang w:eastAsia="pt-BR"/>
        </w:rPr>
        <w:t>arts</w:t>
      </w:r>
      <w:proofErr w:type="spellEnd"/>
      <w:r w:rsidRPr="00BD654D">
        <w:rPr>
          <w:rFonts w:ascii="Arial" w:eastAsia="Times New Roman" w:hAnsi="Arial" w:cs="Arial"/>
          <w:color w:val="202124"/>
          <w:sz w:val="20"/>
          <w:szCs w:val="20"/>
          <w:lang w:eastAsia="pt-BR"/>
        </w:rPr>
        <w:t>. 80, §§ 1º e 2º, e 84 do CPC/1939, no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julgamento</w:t>
      </w:r>
      <w:proofErr w:type="gramEnd"/>
      <w:r w:rsidRPr="00BD654D">
        <w:rPr>
          <w:rFonts w:ascii="Arial" w:eastAsia="Times New Roman" w:hAnsi="Arial" w:cs="Arial"/>
          <w:color w:val="202124"/>
          <w:sz w:val="20"/>
          <w:szCs w:val="20"/>
          <w:lang w:eastAsia="pt-BR"/>
        </w:rPr>
        <w:t xml:space="preserve"> dos recursos extraordinários, o Supremo Tribunal Federal reconheceu razoabilidade no entendimento de que, havendo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litisconsórcio</w:t>
      </w:r>
      <w:proofErr w:type="gramEnd"/>
      <w:r w:rsidRPr="00BD654D">
        <w:rPr>
          <w:rFonts w:ascii="Arial" w:eastAsia="Times New Roman" w:hAnsi="Arial" w:cs="Arial"/>
          <w:color w:val="202124"/>
          <w:sz w:val="20"/>
          <w:szCs w:val="20"/>
          <w:lang w:eastAsia="pt-BR"/>
        </w:rPr>
        <w:t xml:space="preserve"> necessário, haveria representação, em juízo, da herdeira que foi citada por edital, aplicável à espécie o disposto na Súmula 400:</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“Decisão que deu razoável interpretação à lei, ainda que não seja a melhor, não autoriza recurso extraordinário pela letra "a" do art. 101, III, da Constituição Federal” (fls. 682-3).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Noutras palavras, o entendimento lançado no julgamento do recurso extraordinário manteve, porque tidos por razoáveis, os fundamentos 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decisão</w:t>
      </w:r>
      <w:proofErr w:type="gramEnd"/>
      <w:r w:rsidRPr="00BD654D">
        <w:rPr>
          <w:rFonts w:ascii="Arial" w:eastAsia="Times New Roman" w:hAnsi="Arial" w:cs="Arial"/>
          <w:color w:val="202124"/>
          <w:sz w:val="20"/>
          <w:szCs w:val="20"/>
          <w:lang w:eastAsia="pt-BR"/>
        </w:rPr>
        <w:t xml:space="preserve"> do Tribunal de Justiça do Rio Grande do Sul, conforme extraio do relatório do acórdão do recurso extraordinário: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 respeito dessa questão, disse, no essencial, o acórdão (fls. 383 a 384): ‘O art. 91 do Código de Processo Civil é expresso na determinação de que o juiz ordenará de ofício a citação do litisconsorte necessário. Os argumentos invocados com arrimo na fuga do litisconsorte não aceito, ‘data </w:t>
      </w:r>
      <w:proofErr w:type="spellStart"/>
      <w:r w:rsidRPr="00BD654D">
        <w:rPr>
          <w:rFonts w:ascii="Arial" w:eastAsia="Times New Roman" w:hAnsi="Arial" w:cs="Arial"/>
          <w:color w:val="202124"/>
          <w:sz w:val="20"/>
          <w:szCs w:val="20"/>
          <w:lang w:eastAsia="pt-BR"/>
        </w:rPr>
        <w:t>venia</w:t>
      </w:r>
      <w:proofErr w:type="spellEnd"/>
      <w:r w:rsidRPr="00BD654D">
        <w:rPr>
          <w:rFonts w:ascii="Arial" w:eastAsia="Times New Roman" w:hAnsi="Arial" w:cs="Arial"/>
          <w:color w:val="202124"/>
          <w:sz w:val="20"/>
          <w:szCs w:val="20"/>
          <w:lang w:eastAsia="pt-BR"/>
        </w:rPr>
        <w:t>’. Entretanto, também rejeito a preliminar, mas a rejeito por outros argumentos, que foram igualmente invocados pelo eminente Relator. Atenho-me exclusivamente a um dispositivo do Código de Processo Civil que resolve a questão. É o artigo 748, § 2º, que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trata</w:t>
      </w:r>
      <w:proofErr w:type="gramEnd"/>
      <w:r w:rsidRPr="00BD654D">
        <w:rPr>
          <w:rFonts w:ascii="Arial" w:eastAsia="Times New Roman" w:hAnsi="Arial" w:cs="Arial"/>
          <w:color w:val="202124"/>
          <w:sz w:val="20"/>
          <w:szCs w:val="20"/>
          <w:lang w:eastAsia="pt-BR"/>
        </w:rPr>
        <w:t xml:space="preserve"> da habilitação incidente: ‘Quando incertos os herdeiros serão citados por edital, na forma determinada neste Código, correndo a causa com o curador nomeado e com o órgão do Ministério Público, se, findo o prazo, os citados não compareceram’.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Essa regra é específica da habilitação incidente e só exige nomeação de curador para o herdeiro da parte falecida, se for incerto. Se for certo, poderá ser citado por edital, sem a necessidade de nomeação de curador, ainda que </w:t>
      </w:r>
      <w:proofErr w:type="gramStart"/>
      <w:r w:rsidRPr="00BD654D">
        <w:rPr>
          <w:rFonts w:ascii="Arial" w:eastAsia="Times New Roman" w:hAnsi="Arial" w:cs="Arial"/>
          <w:color w:val="202124"/>
          <w:sz w:val="20"/>
          <w:szCs w:val="20"/>
          <w:lang w:eastAsia="pt-BR"/>
        </w:rPr>
        <w:t>revel.’</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De maneira que rejeito a </w:t>
      </w:r>
      <w:proofErr w:type="gramStart"/>
      <w:r w:rsidRPr="00BD654D">
        <w:rPr>
          <w:rFonts w:ascii="Arial" w:eastAsia="Times New Roman" w:hAnsi="Arial" w:cs="Arial"/>
          <w:color w:val="202124"/>
          <w:sz w:val="20"/>
          <w:szCs w:val="20"/>
          <w:lang w:eastAsia="pt-BR"/>
        </w:rPr>
        <w:t>preliminar.”</w:t>
      </w:r>
      <w:proofErr w:type="gramEnd"/>
      <w:r w:rsidRPr="00BD654D">
        <w:rPr>
          <w:rFonts w:ascii="Arial" w:eastAsia="Times New Roman" w:hAnsi="Arial" w:cs="Arial"/>
          <w:color w:val="202124"/>
          <w:sz w:val="20"/>
          <w:szCs w:val="20"/>
          <w:lang w:eastAsia="pt-BR"/>
        </w:rPr>
        <w:t xml:space="preserve"> (</w:t>
      </w:r>
      <w:proofErr w:type="gramStart"/>
      <w:r w:rsidRPr="00BD654D">
        <w:rPr>
          <w:rFonts w:ascii="Arial" w:eastAsia="Times New Roman" w:hAnsi="Arial" w:cs="Arial"/>
          <w:color w:val="202124"/>
          <w:sz w:val="20"/>
          <w:szCs w:val="20"/>
          <w:lang w:eastAsia="pt-BR"/>
        </w:rPr>
        <w:t>fls</w:t>
      </w:r>
      <w:proofErr w:type="gramEnd"/>
      <w:r w:rsidRPr="00BD654D">
        <w:rPr>
          <w:rFonts w:ascii="Arial" w:eastAsia="Times New Roman" w:hAnsi="Arial" w:cs="Arial"/>
          <w:color w:val="202124"/>
          <w:sz w:val="20"/>
          <w:szCs w:val="20"/>
          <w:lang w:eastAsia="pt-BR"/>
        </w:rPr>
        <w:t xml:space="preserve">. 657-8). Como se verifica, o acórdão rescindendo manteve o entendimento pela desnecessidade da nomeação de curador, lastreado em interpretação do disposto no art. 748, § 2º, do CPC/1939, no sentido de que só exigível a nomeação de curador para herdeiro incerto, a excluir, por esta exegese, a aplicação do </w:t>
      </w:r>
      <w:proofErr w:type="spellStart"/>
      <w:r w:rsidRPr="00BD654D">
        <w:rPr>
          <w:rFonts w:ascii="Arial" w:eastAsia="Times New Roman" w:hAnsi="Arial" w:cs="Arial"/>
          <w:color w:val="202124"/>
          <w:sz w:val="20"/>
          <w:szCs w:val="20"/>
          <w:lang w:eastAsia="pt-BR"/>
        </w:rPr>
        <w:t>arts</w:t>
      </w:r>
      <w:proofErr w:type="spellEnd"/>
      <w:r w:rsidRPr="00BD654D">
        <w:rPr>
          <w:rFonts w:ascii="Arial" w:eastAsia="Times New Roman" w:hAnsi="Arial" w:cs="Arial"/>
          <w:color w:val="202124"/>
          <w:sz w:val="20"/>
          <w:szCs w:val="20"/>
          <w:lang w:eastAsia="pt-BR"/>
        </w:rPr>
        <w:t>. 80, §§ 1º e 2º do CPC/1939, normas que, pretendem 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autores</w:t>
      </w:r>
      <w:proofErr w:type="gramEnd"/>
      <w:r w:rsidRPr="00BD654D">
        <w:rPr>
          <w:rFonts w:ascii="Arial" w:eastAsia="Times New Roman" w:hAnsi="Arial" w:cs="Arial"/>
          <w:color w:val="202124"/>
          <w:sz w:val="20"/>
          <w:szCs w:val="20"/>
          <w:lang w:eastAsia="pt-BR"/>
        </w:rPr>
        <w:t>, sejam tidas por violadas.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Ainda quanto ao presente tema, não vislumbro prejuízo aos autores da presente ação o fato de a uma das herdeiras – não autora desta 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rescisória</w:t>
      </w:r>
      <w:proofErr w:type="gramEnd"/>
      <w:r w:rsidRPr="00BD654D">
        <w:rPr>
          <w:rFonts w:ascii="Arial" w:eastAsia="Times New Roman" w:hAnsi="Arial" w:cs="Arial"/>
          <w:color w:val="202124"/>
          <w:sz w:val="20"/>
          <w:szCs w:val="20"/>
          <w:lang w:eastAsia="pt-BR"/>
        </w:rPr>
        <w:t xml:space="preserve"> –, não se ter dado curador especial após citada por edital. Sobre a alegação de nulidade feita por alguém não interessado na formalidade do ato, o Código de Processo Civil/1939 assim previa: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“Art. 273. Quando a lei prescrever determinada forma, sem a cominação de nulidade, o juiz deverá considerar válido o ato: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III – se a nulidade não </w:t>
      </w:r>
      <w:proofErr w:type="spellStart"/>
      <w:r w:rsidRPr="00BD654D">
        <w:rPr>
          <w:rFonts w:ascii="Arial" w:eastAsia="Times New Roman" w:hAnsi="Arial" w:cs="Arial"/>
          <w:color w:val="202124"/>
          <w:sz w:val="20"/>
          <w:szCs w:val="20"/>
          <w:lang w:eastAsia="pt-BR"/>
        </w:rPr>
        <w:t>fôr</w:t>
      </w:r>
      <w:proofErr w:type="spellEnd"/>
      <w:r w:rsidRPr="00BD654D">
        <w:rPr>
          <w:rFonts w:ascii="Arial" w:eastAsia="Times New Roman" w:hAnsi="Arial" w:cs="Arial"/>
          <w:color w:val="202124"/>
          <w:sz w:val="20"/>
          <w:szCs w:val="20"/>
          <w:lang w:eastAsia="pt-BR"/>
        </w:rPr>
        <w:t xml:space="preserve"> arguida pelo interessado na observância da formalidade ou na repetição do </w:t>
      </w:r>
      <w:proofErr w:type="gramStart"/>
      <w:r w:rsidRPr="00BD654D">
        <w:rPr>
          <w:rFonts w:ascii="Arial" w:eastAsia="Times New Roman" w:hAnsi="Arial" w:cs="Arial"/>
          <w:color w:val="202124"/>
          <w:sz w:val="20"/>
          <w:szCs w:val="20"/>
          <w:lang w:eastAsia="pt-BR"/>
        </w:rPr>
        <w:t>ato.”</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O Código de Processo Civil/1973 assim previa quanto à nulidade e a falta de prejuízo: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“Art. 249. O juiz, ao pronunciar a nulidade, declarará que atos são atingidos, ordenando as providências necessárias, a fim de que sejam repetidos, ou retificados.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 1º O ato não se repetirá nem se lhe suprirá a falta quando não prejudicar a </w:t>
      </w:r>
      <w:proofErr w:type="gramStart"/>
      <w:r w:rsidRPr="00BD654D">
        <w:rPr>
          <w:rFonts w:ascii="Arial" w:eastAsia="Times New Roman" w:hAnsi="Arial" w:cs="Arial"/>
          <w:color w:val="202124"/>
          <w:sz w:val="20"/>
          <w:szCs w:val="20"/>
          <w:lang w:eastAsia="pt-BR"/>
        </w:rPr>
        <w:t>parte.”</w:t>
      </w:r>
      <w:proofErr w:type="gramEnd"/>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Ademais o reconhecimento, por este Supremo Tribunal Federal, da razoabilidade do referido entendimento afasta, por si só – porque de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incompatível</w:t>
      </w:r>
      <w:proofErr w:type="gramEnd"/>
      <w:r w:rsidRPr="00BD654D">
        <w:rPr>
          <w:rFonts w:ascii="Arial" w:eastAsia="Times New Roman" w:hAnsi="Arial" w:cs="Arial"/>
          <w:color w:val="202124"/>
          <w:sz w:val="20"/>
          <w:szCs w:val="20"/>
          <w:lang w:eastAsia="pt-BR"/>
        </w:rPr>
        <w:t xml:space="preserve"> convivência lógica –, a ocorrência de manifesta ou flagrante violação dos dispositivos invocados.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Por fim, sobre a (</w:t>
      </w:r>
      <w:proofErr w:type="spellStart"/>
      <w:r w:rsidRPr="00BD654D">
        <w:rPr>
          <w:rFonts w:ascii="Arial" w:eastAsia="Times New Roman" w:hAnsi="Arial" w:cs="Arial"/>
          <w:color w:val="202124"/>
          <w:sz w:val="20"/>
          <w:szCs w:val="20"/>
          <w:lang w:eastAsia="pt-BR"/>
        </w:rPr>
        <w:t>iv</w:t>
      </w:r>
      <w:proofErr w:type="spellEnd"/>
      <w:r w:rsidRPr="00BD654D">
        <w:rPr>
          <w:rFonts w:ascii="Arial" w:eastAsia="Times New Roman" w:hAnsi="Arial" w:cs="Arial"/>
          <w:color w:val="202124"/>
          <w:sz w:val="20"/>
          <w:szCs w:val="20"/>
          <w:lang w:eastAsia="pt-BR"/>
        </w:rPr>
        <w:t>) falta de prova da coincidência da concepção com as relações sexuais do pretenso pai e da existência de concubinato no período da concepção, e a alegada violação do art. 363, I e II, do Código Civil/1916, ao argumento de que, conquanto “o investigante tenha oferecido prova exclusivamente testemunhal para obtenção da alegada paternidade, os Juízos de 1º e 2º Graus implicitamente o liberaram da comprovação da coincidência da concepção com as relações sexuais do pretenso pai, como também da prova de que teria havido concubinato no período da concepção em apreço”, trata-se de questão típica de valoração da prova, e sobre ela este Supremo Tribunal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assim</w:t>
      </w:r>
      <w:proofErr w:type="gramEnd"/>
      <w:r w:rsidRPr="00BD654D">
        <w:rPr>
          <w:rFonts w:ascii="Arial" w:eastAsia="Times New Roman" w:hAnsi="Arial" w:cs="Arial"/>
          <w:color w:val="202124"/>
          <w:sz w:val="20"/>
          <w:szCs w:val="20"/>
          <w:lang w:eastAsia="pt-BR"/>
        </w:rPr>
        <w:t xml:space="preserve"> se manifestou no julgamento dos embargos de declaração interpostos em face do acórdão que julgou o recurso extraordinário,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conforme</w:t>
      </w:r>
      <w:proofErr w:type="gramEnd"/>
      <w:r w:rsidRPr="00BD654D">
        <w:rPr>
          <w:rFonts w:ascii="Arial" w:eastAsia="Times New Roman" w:hAnsi="Arial" w:cs="Arial"/>
          <w:color w:val="202124"/>
          <w:sz w:val="20"/>
          <w:szCs w:val="20"/>
          <w:lang w:eastAsia="pt-BR"/>
        </w:rPr>
        <w:t xml:space="preserve"> trecho do voto do Ministro Moreira Alves: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“Do exposto, verifica-se, sem maior esforço, que a questão federal relativa à valorização da prova não foi ventilada no acórdão recorrido, nem atacada nos embargos declaratórios ou aludida no despacho que os indeferiu. Falta-lhe, assim, o necessário prequestionamento (súmulas 282 e 356</w:t>
      </w:r>
      <w:proofErr w:type="gramStart"/>
      <w:r w:rsidRPr="00BD654D">
        <w:rPr>
          <w:rFonts w:ascii="Arial" w:eastAsia="Times New Roman" w:hAnsi="Arial" w:cs="Arial"/>
          <w:color w:val="202124"/>
          <w:sz w:val="20"/>
          <w:szCs w:val="20"/>
          <w:lang w:eastAsia="pt-BR"/>
        </w:rPr>
        <w:t>).”</w:t>
      </w:r>
      <w:proofErr w:type="gramEnd"/>
      <w:r w:rsidRPr="00BD654D">
        <w:rPr>
          <w:rFonts w:ascii="Arial" w:eastAsia="Times New Roman" w:hAnsi="Arial" w:cs="Arial"/>
          <w:color w:val="202124"/>
          <w:sz w:val="20"/>
          <w:szCs w:val="20"/>
          <w:lang w:eastAsia="pt-BR"/>
        </w:rPr>
        <w:t xml:space="preserve"> (</w:t>
      </w:r>
      <w:proofErr w:type="gramStart"/>
      <w:r w:rsidRPr="00BD654D">
        <w:rPr>
          <w:rFonts w:ascii="Arial" w:eastAsia="Times New Roman" w:hAnsi="Arial" w:cs="Arial"/>
          <w:color w:val="202124"/>
          <w:sz w:val="20"/>
          <w:szCs w:val="20"/>
          <w:lang w:eastAsia="pt-BR"/>
        </w:rPr>
        <w:t>fl.</w:t>
      </w:r>
      <w:proofErr w:type="gramEnd"/>
      <w:r w:rsidRPr="00BD654D">
        <w:rPr>
          <w:rFonts w:ascii="Arial" w:eastAsia="Times New Roman" w:hAnsi="Arial" w:cs="Arial"/>
          <w:color w:val="202124"/>
          <w:sz w:val="20"/>
          <w:szCs w:val="20"/>
          <w:lang w:eastAsia="pt-BR"/>
        </w:rPr>
        <w:t xml:space="preserve"> 729)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Destarte, como se verifica expressamente do argumento dos autores desta rescisória, pretendem, por esta via, rever decisões dos “Juízos de 1º e 2º Graus” o que, obviamente, difere da finalidade típica desta espécie de ação.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Portanto ausente, em quaisquer dos argumentos invocados na petição inicial desta ação rescisória, confronto evidente ou manifesto à norma jurídica. As alegadas violações aos apontados dispositivos configuram, em verdade, mera constatação do não acatamento, por esta Corte, dos argumentos que seriam favoráveis aos autores, longe de configurar a chapada violação de norma.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De se registrar a exaustão dos meios recursais empregados na ação originária que desembocou no não conhecimento de três recursos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lastRenderedPageBreak/>
        <w:t>extraordinários</w:t>
      </w:r>
      <w:proofErr w:type="gramEnd"/>
      <w:r w:rsidRPr="00BD654D">
        <w:rPr>
          <w:rFonts w:ascii="Arial" w:eastAsia="Times New Roman" w:hAnsi="Arial" w:cs="Arial"/>
          <w:color w:val="202124"/>
          <w:sz w:val="20"/>
          <w:szCs w:val="20"/>
          <w:lang w:eastAsia="pt-BR"/>
        </w:rPr>
        <w:t xml:space="preserve"> por esta Suprema Corte. Os pontos trazidos levantados na inicial desta ação rescisória denotam, a evidência, nova tentativa dos autores de provocação da Corte para, ainda que sob argumentos jurídicos diversos, obter pronunciamento capaz de lhes trazer um resultado favorável na demanda.</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Todavia, como reiteradamente tem entendido este Supremo Tribunal, a ação rescisória não se presta à mera rediscussão de questões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de</w:t>
      </w:r>
      <w:proofErr w:type="gramEnd"/>
      <w:r w:rsidRPr="00BD654D">
        <w:rPr>
          <w:rFonts w:ascii="Arial" w:eastAsia="Times New Roman" w:hAnsi="Arial" w:cs="Arial"/>
          <w:color w:val="202124"/>
          <w:sz w:val="20"/>
          <w:szCs w:val="20"/>
          <w:lang w:eastAsia="pt-BR"/>
        </w:rPr>
        <w:t xml:space="preserve"> direito controvertidas.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Neste sentido, reproduzo os argumentos lançados pelo Ministro Luiz </w:t>
      </w:r>
      <w:proofErr w:type="spellStart"/>
      <w:r w:rsidRPr="00BD654D">
        <w:rPr>
          <w:rFonts w:ascii="Arial" w:eastAsia="Times New Roman" w:hAnsi="Arial" w:cs="Arial"/>
          <w:color w:val="202124"/>
          <w:sz w:val="20"/>
          <w:szCs w:val="20"/>
          <w:lang w:eastAsia="pt-BR"/>
        </w:rPr>
        <w:t>Fux</w:t>
      </w:r>
      <w:proofErr w:type="spellEnd"/>
      <w:r w:rsidRPr="00BD654D">
        <w:rPr>
          <w:rFonts w:ascii="Arial" w:eastAsia="Times New Roman" w:hAnsi="Arial" w:cs="Arial"/>
          <w:color w:val="202124"/>
          <w:sz w:val="20"/>
          <w:szCs w:val="20"/>
          <w:lang w:eastAsia="pt-BR"/>
        </w:rPr>
        <w:t xml:space="preserve"> enquanto relator de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na AR nº 2017:</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“Analisando o pedido autoral e a situação posta nos autos, verifico que o autor pretende, por via oblíqua, rediscutir questão de mérito que foi devidamente analisada desde as instâncias originárias e, por isso, encontra-se acobertada pelo manto da coisa julgada, cuja eficácia preclusiva absorve, nos termos do art. 474 do Código de Processo Civil, todas as alegações e defesas que a parte suscitou ou poderia ter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suscitado</w:t>
      </w:r>
      <w:proofErr w:type="gramEnd"/>
      <w:r w:rsidRPr="00BD654D">
        <w:rPr>
          <w:rFonts w:ascii="Arial" w:eastAsia="Times New Roman" w:hAnsi="Arial" w:cs="Arial"/>
          <w:color w:val="202124"/>
          <w:sz w:val="20"/>
          <w:szCs w:val="20"/>
          <w:lang w:eastAsia="pt-BR"/>
        </w:rPr>
        <w:t xml:space="preserve">. Deve a coisa julgada ser compreendida como um instituto jurídico de envergadura constitucional, dotada dos atributos da </w:t>
      </w:r>
      <w:proofErr w:type="spellStart"/>
      <w:r w:rsidRPr="00BD654D">
        <w:rPr>
          <w:rFonts w:ascii="Arial" w:eastAsia="Times New Roman" w:hAnsi="Arial" w:cs="Arial"/>
          <w:color w:val="202124"/>
          <w:sz w:val="20"/>
          <w:szCs w:val="20"/>
          <w:lang w:eastAsia="pt-BR"/>
        </w:rPr>
        <w:t>indiscutibilidade</w:t>
      </w:r>
      <w:proofErr w:type="spellEnd"/>
      <w:r w:rsidRPr="00BD654D">
        <w:rPr>
          <w:rFonts w:ascii="Arial" w:eastAsia="Times New Roman" w:hAnsi="Arial" w:cs="Arial"/>
          <w:color w:val="202124"/>
          <w:sz w:val="20"/>
          <w:szCs w:val="20"/>
          <w:lang w:eastAsia="pt-BR"/>
        </w:rPr>
        <w:t xml:space="preserve">, imutabilidade e coercibilidade, além de ser elemento conformador da realidade e mecanismo estabilizador das relações jurídicas.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Nesse sentido é a antiga jurisprudência desta Corte, da qual cito os seguintes precedentes (grifos nossos):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‘Ação rescisória. Investigação de paternidade. Código Civil, art. 363, II, ‘in fine’. Decisão que teve como comprovadas relações sexuais entre o ora autor e a mãe do ora réu, a época da concepção deste. Ação rescisória fundamentada no art. 485, III, V e VII, do Código de Processo Civil. 2. O acórdão que se pretende rescindir no RE nº 81.802, ao restabelecer a sentença, baseou-se na prova identificada na decisão de primeiro grau e no acórdão do Tribunal de Justiça do Estado. Não cabe, aqui, rediscutir esses mesmos elementos de prova. É assente que não se admite ação rescisória para debater, outra vez, a causa e a prova, como se fora nova instância recursal. Precedentes do STF.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3. Para os efeitos do inciso VII do art. 485 do C.P.C., por documento novo não se deve entender aquele que, só posteriormente a sentença, veio a </w:t>
      </w:r>
      <w:proofErr w:type="spellStart"/>
      <w:r w:rsidRPr="00BD654D">
        <w:rPr>
          <w:rFonts w:ascii="Arial" w:eastAsia="Times New Roman" w:hAnsi="Arial" w:cs="Arial"/>
          <w:color w:val="202124"/>
          <w:sz w:val="20"/>
          <w:szCs w:val="20"/>
          <w:lang w:eastAsia="pt-BR"/>
        </w:rPr>
        <w:t>formarse</w:t>
      </w:r>
      <w:proofErr w:type="spellEnd"/>
      <w:r w:rsidRPr="00BD654D">
        <w:rPr>
          <w:rFonts w:ascii="Arial" w:eastAsia="Times New Roman" w:hAnsi="Arial" w:cs="Arial"/>
          <w:color w:val="202124"/>
          <w:sz w:val="20"/>
          <w:szCs w:val="20"/>
          <w:lang w:eastAsia="pt-BR"/>
        </w:rPr>
        <w:t xml:space="preserve">, mas o documento já constituído cuja existência o autor da ação rescisória ignorava ou do qual não pode fazer uso, no curso do processo de que resultou o aresto rescindendo.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4. Não demonstrou, também, o autor haver a decisão rescindenda resultado de dolo da parte vencedora em detrimento da parte vencida, ou de colusão entre as partes, a fim de fraudar a lei, a teor do art. 485, III, do C.P.C.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5.Ação rescisória julgada </w:t>
      </w:r>
      <w:proofErr w:type="gramStart"/>
      <w:r w:rsidRPr="00BD654D">
        <w:rPr>
          <w:rFonts w:ascii="Arial" w:eastAsia="Times New Roman" w:hAnsi="Arial" w:cs="Arial"/>
          <w:color w:val="202124"/>
          <w:sz w:val="20"/>
          <w:szCs w:val="20"/>
          <w:lang w:eastAsia="pt-BR"/>
        </w:rPr>
        <w:t>improcedente.”</w:t>
      </w:r>
      <w:proofErr w:type="gramEnd"/>
      <w:r w:rsidRPr="00BD654D">
        <w:rPr>
          <w:rFonts w:ascii="Arial" w:eastAsia="Times New Roman" w:hAnsi="Arial" w:cs="Arial"/>
          <w:color w:val="202124"/>
          <w:sz w:val="20"/>
          <w:szCs w:val="20"/>
          <w:lang w:eastAsia="pt-BR"/>
        </w:rPr>
        <w:t xml:space="preserve"> (AR 1.063, Rel. Min. Néri da Silveira, Pleno, DJ de 25/8/1995)</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‘Ação rescisória. Responsabilidade civil do Estado. Ato judicial. Inviável se faz a ação rescisória para novo julgamento da causa ou para rediscutir as questões de direito controvertidas. Súmula 343. Não cabe, em ação rescisória, reexaminar a matéria de fato apreciada no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acórdão</w:t>
      </w:r>
      <w:proofErr w:type="gramEnd"/>
      <w:r w:rsidRPr="00BD654D">
        <w:rPr>
          <w:rFonts w:ascii="Arial" w:eastAsia="Times New Roman" w:hAnsi="Arial" w:cs="Arial"/>
          <w:color w:val="202124"/>
          <w:sz w:val="20"/>
          <w:szCs w:val="20"/>
          <w:lang w:eastAsia="pt-BR"/>
        </w:rPr>
        <w:t xml:space="preserve">. Se foi equivocado o exame dessa prova, ou não, a ação rescisória não </w:t>
      </w:r>
      <w:proofErr w:type="gramStart"/>
      <w:r w:rsidRPr="00BD654D">
        <w:rPr>
          <w:rFonts w:ascii="Arial" w:eastAsia="Times New Roman" w:hAnsi="Arial" w:cs="Arial"/>
          <w:color w:val="202124"/>
          <w:sz w:val="20"/>
          <w:szCs w:val="20"/>
          <w:lang w:eastAsia="pt-BR"/>
        </w:rPr>
        <w:t>e</w:t>
      </w:r>
      <w:proofErr w:type="gramEnd"/>
      <w:r w:rsidRPr="00BD654D">
        <w:rPr>
          <w:rFonts w:ascii="Arial" w:eastAsia="Times New Roman" w:hAnsi="Arial" w:cs="Arial"/>
          <w:color w:val="202124"/>
          <w:sz w:val="20"/>
          <w:szCs w:val="20"/>
          <w:lang w:eastAsia="pt-BR"/>
        </w:rPr>
        <w:t xml:space="preserve"> o meio adequado a enfrentar esse tema, sendo certo que não se sustenta, na demanda rescisória, haja o aresto rescindendo se fundamentado em prova falsa. Ação rescisória </w:t>
      </w:r>
      <w:proofErr w:type="gramStart"/>
      <w:r w:rsidRPr="00BD654D">
        <w:rPr>
          <w:rFonts w:ascii="Arial" w:eastAsia="Times New Roman" w:hAnsi="Arial" w:cs="Arial"/>
          <w:color w:val="202124"/>
          <w:sz w:val="20"/>
          <w:szCs w:val="20"/>
          <w:lang w:eastAsia="pt-BR"/>
        </w:rPr>
        <w:t>improcedente.’</w:t>
      </w:r>
      <w:proofErr w:type="gramEnd"/>
      <w:r w:rsidRPr="00BD654D">
        <w:rPr>
          <w:rFonts w:ascii="Arial" w:eastAsia="Times New Roman" w:hAnsi="Arial" w:cs="Arial"/>
          <w:color w:val="202124"/>
          <w:sz w:val="20"/>
          <w:szCs w:val="20"/>
          <w:lang w:eastAsia="pt-BR"/>
        </w:rPr>
        <w:t xml:space="preserve"> (AR 973,</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Rel. Min. Néri da Silveira, Pleno, DJ de 30/4/1992) […]” (AR 2017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Rel. Ministro Luiz </w:t>
      </w:r>
      <w:proofErr w:type="spellStart"/>
      <w:r w:rsidRPr="00BD654D">
        <w:rPr>
          <w:rFonts w:ascii="Arial" w:eastAsia="Times New Roman" w:hAnsi="Arial" w:cs="Arial"/>
          <w:color w:val="202124"/>
          <w:sz w:val="20"/>
          <w:szCs w:val="20"/>
          <w:lang w:eastAsia="pt-BR"/>
        </w:rPr>
        <w:t>Fux</w:t>
      </w:r>
      <w:proofErr w:type="spellEnd"/>
      <w:r w:rsidRPr="00BD654D">
        <w:rPr>
          <w:rFonts w:ascii="Arial" w:eastAsia="Times New Roman" w:hAnsi="Arial" w:cs="Arial"/>
          <w:color w:val="202124"/>
          <w:sz w:val="20"/>
          <w:szCs w:val="20"/>
          <w:lang w:eastAsia="pt-BR"/>
        </w:rPr>
        <w:t xml:space="preserve">, </w:t>
      </w:r>
      <w:proofErr w:type="spellStart"/>
      <w:r w:rsidRPr="00BD654D">
        <w:rPr>
          <w:rFonts w:ascii="Arial" w:eastAsia="Times New Roman" w:hAnsi="Arial" w:cs="Arial"/>
          <w:color w:val="202124"/>
          <w:sz w:val="20"/>
          <w:szCs w:val="20"/>
          <w:lang w:eastAsia="pt-BR"/>
        </w:rPr>
        <w:t>PrimeiraTurma</w:t>
      </w:r>
      <w:proofErr w:type="spellEnd"/>
      <w:r w:rsidRPr="00BD654D">
        <w:rPr>
          <w:rFonts w:ascii="Arial" w:eastAsia="Times New Roman" w:hAnsi="Arial" w:cs="Arial"/>
          <w:color w:val="202124"/>
          <w:sz w:val="20"/>
          <w:szCs w:val="20"/>
          <w:lang w:eastAsia="pt-BR"/>
        </w:rPr>
        <w:t xml:space="preserve">,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24.3.2015, grifos do original)</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Neste mesmo sentido o seguinte julgado, também sob relatoria do Ministro Luiz </w:t>
      </w:r>
      <w:proofErr w:type="spellStart"/>
      <w:r w:rsidRPr="00BD654D">
        <w:rPr>
          <w:rFonts w:ascii="Arial" w:eastAsia="Times New Roman" w:hAnsi="Arial" w:cs="Arial"/>
          <w:color w:val="202124"/>
          <w:sz w:val="20"/>
          <w:szCs w:val="20"/>
          <w:lang w:eastAsia="pt-BR"/>
        </w:rPr>
        <w:t>Fux</w:t>
      </w:r>
      <w:proofErr w:type="spellEnd"/>
      <w:r w:rsidRPr="00BD654D">
        <w:rPr>
          <w:rFonts w:ascii="Arial" w:eastAsia="Times New Roman" w:hAnsi="Arial" w:cs="Arial"/>
          <w:color w:val="202124"/>
          <w:sz w:val="20"/>
          <w:szCs w:val="20"/>
          <w:lang w:eastAsia="pt-BR"/>
        </w:rPr>
        <w:t>:</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“AGRAVO INTERNO NA AÇÃO RESCISÓRIA. PEDIDO DE DESCONSTITUIÇÃO DO QUE DECIDIDO NO MS 30.839.</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ART. 102, I, J, DA CRFB/88. ART. 966 DO CPC/2015. ALEGAÇÃO DE VIOLAÇÃO A LITERAL DISPOSITIVO DE NORMA JURÍDICA, SURGIMENTO DE PROVA NOVA E ERRO DE FATO. REQUISITOS DA AÇÃO RESCISÓRIA NÃO CARACTERIZADOS. ARGUMENTOS JÁ ANALISADOS 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lastRenderedPageBreak/>
        <w:t>AFASTADOS PELA PRÓPRIA DECISÃO RESCINDENDA. MERA REDISCUSSÃO DE MATÉRIA JÁ APRECIADA POR ESTE TRIBUNAL. IMPOSSIBILIDADE. INADEQUAÇÃO DESTA VIA PROCESSUAL PARA TAL FIM. PRECEDENTES.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AGRAVO INTERNO DESPROVIDO. 1. A ação rescisória é via processual inadequada à mera rediscussão de questões já expressa e fundamentadamente enfrentadas no julgamento rescindendo.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2. In </w:t>
      </w:r>
      <w:proofErr w:type="spellStart"/>
      <w:r w:rsidRPr="00BD654D">
        <w:rPr>
          <w:rFonts w:ascii="Arial" w:eastAsia="Times New Roman" w:hAnsi="Arial" w:cs="Arial"/>
          <w:color w:val="202124"/>
          <w:sz w:val="20"/>
          <w:szCs w:val="20"/>
          <w:lang w:eastAsia="pt-BR"/>
        </w:rPr>
        <w:t>casu</w:t>
      </w:r>
      <w:proofErr w:type="spellEnd"/>
      <w:r w:rsidRPr="00BD654D">
        <w:rPr>
          <w:rFonts w:ascii="Arial" w:eastAsia="Times New Roman" w:hAnsi="Arial" w:cs="Arial"/>
          <w:color w:val="202124"/>
          <w:sz w:val="20"/>
          <w:szCs w:val="20"/>
          <w:lang w:eastAsia="pt-BR"/>
        </w:rPr>
        <w:t xml:space="preserve">, as alegações de violação a dispositivo de norma jurídica, surgimento de prova nova e erro de fato (art. 966, V, VII e VIII, do CPC/2015), não restaram demonstradas.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3.Agravo interno </w:t>
      </w:r>
      <w:proofErr w:type="gramStart"/>
      <w:r w:rsidRPr="00BD654D">
        <w:rPr>
          <w:rFonts w:ascii="Arial" w:eastAsia="Times New Roman" w:hAnsi="Arial" w:cs="Arial"/>
          <w:color w:val="202124"/>
          <w:sz w:val="20"/>
          <w:szCs w:val="20"/>
          <w:lang w:eastAsia="pt-BR"/>
        </w:rPr>
        <w:t>desprovido.”</w:t>
      </w:r>
      <w:proofErr w:type="gramEnd"/>
      <w:r w:rsidRPr="00BD654D">
        <w:rPr>
          <w:rFonts w:ascii="Arial" w:eastAsia="Times New Roman" w:hAnsi="Arial" w:cs="Arial"/>
          <w:color w:val="202124"/>
          <w:sz w:val="20"/>
          <w:szCs w:val="20"/>
          <w:lang w:eastAsia="pt-BR"/>
        </w:rPr>
        <w:t xml:space="preserve"> (AR 2594 </w:t>
      </w:r>
      <w:proofErr w:type="spellStart"/>
      <w:r w:rsidRPr="00BD654D">
        <w:rPr>
          <w:rFonts w:ascii="Arial" w:eastAsia="Times New Roman" w:hAnsi="Arial" w:cs="Arial"/>
          <w:color w:val="202124"/>
          <w:sz w:val="20"/>
          <w:szCs w:val="20"/>
          <w:lang w:eastAsia="pt-BR"/>
        </w:rPr>
        <w:t>AgR</w:t>
      </w:r>
      <w:proofErr w:type="spellEnd"/>
      <w:r w:rsidRPr="00BD654D">
        <w:rPr>
          <w:rFonts w:ascii="Arial" w:eastAsia="Times New Roman" w:hAnsi="Arial" w:cs="Arial"/>
          <w:color w:val="202124"/>
          <w:sz w:val="20"/>
          <w:szCs w:val="20"/>
          <w:lang w:eastAsia="pt-BR"/>
        </w:rPr>
        <w:t xml:space="preserve">, Relator Min. Luiz </w:t>
      </w:r>
      <w:proofErr w:type="spellStart"/>
      <w:r w:rsidRPr="00BD654D">
        <w:rPr>
          <w:rFonts w:ascii="Arial" w:eastAsia="Times New Roman" w:hAnsi="Arial" w:cs="Arial"/>
          <w:color w:val="202124"/>
          <w:sz w:val="20"/>
          <w:szCs w:val="20"/>
          <w:lang w:eastAsia="pt-BR"/>
        </w:rPr>
        <w:t>Fux</w:t>
      </w:r>
      <w:proofErr w:type="spellEnd"/>
      <w:r w:rsidRPr="00BD654D">
        <w:rPr>
          <w:rFonts w:ascii="Arial" w:eastAsia="Times New Roman" w:hAnsi="Arial" w:cs="Arial"/>
          <w:color w:val="202124"/>
          <w:sz w:val="20"/>
          <w:szCs w:val="20"/>
          <w:lang w:eastAsia="pt-BR"/>
        </w:rPr>
        <w:t xml:space="preserve">, Tribunal Pleno,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12.6.2017, destaquei)</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Portanto, pela coincidência entre os argumentos da inicial e aqueles apreciados nos recursos extraordinários cujas decisões pretendem</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rescindir</w:t>
      </w:r>
      <w:proofErr w:type="gramEnd"/>
      <w:r w:rsidRPr="00BD654D">
        <w:rPr>
          <w:rFonts w:ascii="Arial" w:eastAsia="Times New Roman" w:hAnsi="Arial" w:cs="Arial"/>
          <w:color w:val="202124"/>
          <w:sz w:val="20"/>
          <w:szCs w:val="20"/>
          <w:lang w:eastAsia="pt-BR"/>
        </w:rPr>
        <w:t>, nota-se pretensão que diverge da finalidade típica da rescisória, a configurar a busca de mero reexame do que decidido no acórdão</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rescindendo</w:t>
      </w:r>
      <w:proofErr w:type="gramEnd"/>
      <w:r w:rsidRPr="00BD654D">
        <w:rPr>
          <w:rFonts w:ascii="Arial" w:eastAsia="Times New Roman" w:hAnsi="Arial" w:cs="Arial"/>
          <w:color w:val="202124"/>
          <w:sz w:val="20"/>
          <w:szCs w:val="20"/>
          <w:lang w:eastAsia="pt-BR"/>
        </w:rPr>
        <w:t>.</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Nestes termos, o manejo da ação rescisória como sucedâneo de recurso não é admitido pela jurisprudência desta Suprema Corte, por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inconfundíveis</w:t>
      </w:r>
      <w:proofErr w:type="gramEnd"/>
      <w:r w:rsidRPr="00BD654D">
        <w:rPr>
          <w:rFonts w:ascii="Arial" w:eastAsia="Times New Roman" w:hAnsi="Arial" w:cs="Arial"/>
          <w:color w:val="202124"/>
          <w:sz w:val="20"/>
          <w:szCs w:val="20"/>
          <w:lang w:eastAsia="pt-BR"/>
        </w:rPr>
        <w:t xml:space="preserve"> os institutos, pois “a ação rescisória é meio autônomo de impugnação da decisão judicial no bojo da qual se forma nova relação </w:t>
      </w:r>
      <w:proofErr w:type="spellStart"/>
      <w:r w:rsidRPr="00BD654D">
        <w:rPr>
          <w:rFonts w:ascii="Arial" w:eastAsia="Times New Roman" w:hAnsi="Arial" w:cs="Arial"/>
          <w:color w:val="202124"/>
          <w:sz w:val="20"/>
          <w:szCs w:val="20"/>
          <w:lang w:eastAsia="pt-BR"/>
        </w:rPr>
        <w:t>jurídicoprocessual</w:t>
      </w:r>
      <w:proofErr w:type="spellEnd"/>
      <w:r w:rsidRPr="00BD654D">
        <w:rPr>
          <w:rFonts w:ascii="Arial" w:eastAsia="Times New Roman" w:hAnsi="Arial" w:cs="Arial"/>
          <w:color w:val="202124"/>
          <w:sz w:val="20"/>
          <w:szCs w:val="20"/>
          <w:lang w:eastAsia="pt-BR"/>
        </w:rPr>
        <w:t xml:space="preserve">, com base em hipóteses taxativamente definidas em lei, dentre as quais não se encontra a sua utilização como sucedâneo de recurso.” (AR 1.958-AgR/MG, Relator Ministro Dias </w:t>
      </w:r>
      <w:proofErr w:type="spellStart"/>
      <w:r w:rsidRPr="00BD654D">
        <w:rPr>
          <w:rFonts w:ascii="Arial" w:eastAsia="Times New Roman" w:hAnsi="Arial" w:cs="Arial"/>
          <w:color w:val="202124"/>
          <w:sz w:val="20"/>
          <w:szCs w:val="20"/>
          <w:lang w:eastAsia="pt-BR"/>
        </w:rPr>
        <w:t>Toffoli</w:t>
      </w:r>
      <w:proofErr w:type="spellEnd"/>
      <w:r w:rsidRPr="00BD654D">
        <w:rPr>
          <w:rFonts w:ascii="Arial" w:eastAsia="Times New Roman" w:hAnsi="Arial" w:cs="Arial"/>
          <w:color w:val="202124"/>
          <w:sz w:val="20"/>
          <w:szCs w:val="20"/>
          <w:lang w:eastAsia="pt-BR"/>
        </w:rPr>
        <w:t xml:space="preserve">, Tribunal Pleno,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de 30.5.2014).</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Destaco, por fim, que o Plenário deste Supremo Tribunal Federal já afastou, no julgamento da AR 2.108-AgR/BA (Relator Ministro Dias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spellStart"/>
      <w:r w:rsidRPr="00BD654D">
        <w:rPr>
          <w:rFonts w:ascii="Arial" w:eastAsia="Times New Roman" w:hAnsi="Arial" w:cs="Arial"/>
          <w:color w:val="202124"/>
          <w:sz w:val="20"/>
          <w:szCs w:val="20"/>
          <w:lang w:eastAsia="pt-BR"/>
        </w:rPr>
        <w:t>Toffoli</w:t>
      </w:r>
      <w:proofErr w:type="spellEnd"/>
      <w:r w:rsidRPr="00BD654D">
        <w:rPr>
          <w:rFonts w:ascii="Arial" w:eastAsia="Times New Roman" w:hAnsi="Arial" w:cs="Arial"/>
          <w:color w:val="202124"/>
          <w:sz w:val="20"/>
          <w:szCs w:val="20"/>
          <w:lang w:eastAsia="pt-BR"/>
        </w:rPr>
        <w:t xml:space="preserve">, </w:t>
      </w:r>
      <w:proofErr w:type="spellStart"/>
      <w:r w:rsidRPr="00BD654D">
        <w:rPr>
          <w:rFonts w:ascii="Arial" w:eastAsia="Times New Roman" w:hAnsi="Arial" w:cs="Arial"/>
          <w:color w:val="202124"/>
          <w:sz w:val="20"/>
          <w:szCs w:val="20"/>
          <w:lang w:eastAsia="pt-BR"/>
        </w:rPr>
        <w:t>DJe</w:t>
      </w:r>
      <w:proofErr w:type="spellEnd"/>
      <w:r w:rsidRPr="00BD654D">
        <w:rPr>
          <w:rFonts w:ascii="Arial" w:eastAsia="Times New Roman" w:hAnsi="Arial" w:cs="Arial"/>
          <w:color w:val="202124"/>
          <w:sz w:val="20"/>
          <w:szCs w:val="20"/>
          <w:lang w:eastAsia="pt-BR"/>
        </w:rPr>
        <w:t xml:space="preserve"> 06.9.2011), alegação de suposta impossibilidade de julgamento monocrático de ação rescisória, pelo respectivo relator,</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reiterando</w:t>
      </w:r>
      <w:proofErr w:type="gramEnd"/>
      <w:r w:rsidRPr="00BD654D">
        <w:rPr>
          <w:rFonts w:ascii="Arial" w:eastAsia="Times New Roman" w:hAnsi="Arial" w:cs="Arial"/>
          <w:color w:val="202124"/>
          <w:sz w:val="20"/>
          <w:szCs w:val="20"/>
          <w:lang w:eastAsia="pt-BR"/>
        </w:rPr>
        <w:t>, naquela assentada, o entendimento de que “o Regimento Interno do Supremo Tribunal Federal, em seu art. 21, § 1º, admite que o relator da ação, per se, a ela negue seguimento ou dela não conheça, no caso de a tese defendida confrontar jurisprudência assentada desta Corte”.</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xml:space="preserve">Ante o exposto, não configuradas as hipóteses de </w:t>
      </w:r>
      <w:proofErr w:type="spellStart"/>
      <w:r w:rsidRPr="00BD654D">
        <w:rPr>
          <w:rFonts w:ascii="Arial" w:eastAsia="Times New Roman" w:hAnsi="Arial" w:cs="Arial"/>
          <w:color w:val="202124"/>
          <w:sz w:val="20"/>
          <w:szCs w:val="20"/>
          <w:lang w:eastAsia="pt-BR"/>
        </w:rPr>
        <w:t>rescindibilidade</w:t>
      </w:r>
      <w:proofErr w:type="spellEnd"/>
      <w:r w:rsidRPr="00BD654D">
        <w:rPr>
          <w:rFonts w:ascii="Arial" w:eastAsia="Times New Roman" w:hAnsi="Arial" w:cs="Arial"/>
          <w:color w:val="202124"/>
          <w:sz w:val="20"/>
          <w:szCs w:val="20"/>
          <w:lang w:eastAsia="pt-BR"/>
        </w:rPr>
        <w:t xml:space="preserve"> insculpidas nos dispositivos processuais invocados, nego seguimento à</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presente</w:t>
      </w:r>
      <w:proofErr w:type="gramEnd"/>
      <w:r w:rsidRPr="00BD654D">
        <w:rPr>
          <w:rFonts w:ascii="Arial" w:eastAsia="Times New Roman" w:hAnsi="Arial" w:cs="Arial"/>
          <w:color w:val="202124"/>
          <w:sz w:val="20"/>
          <w:szCs w:val="20"/>
          <w:lang w:eastAsia="pt-BR"/>
        </w:rPr>
        <w:t xml:space="preserve"> ação rescisória, o que faço com fulcro no art. 932, VIII, do CPC/2015 c/c 21, § 1º, do RISTF.</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 </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Considerando a natureza da causa, o ínfimo valor a ela atribuído na inicial, o tempo de processamento, o trabalho desenvolvido e as</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proofErr w:type="gramStart"/>
      <w:r w:rsidRPr="00BD654D">
        <w:rPr>
          <w:rFonts w:ascii="Arial" w:eastAsia="Times New Roman" w:hAnsi="Arial" w:cs="Arial"/>
          <w:color w:val="202124"/>
          <w:sz w:val="20"/>
          <w:szCs w:val="20"/>
          <w:lang w:eastAsia="pt-BR"/>
        </w:rPr>
        <w:t>circunstâncias</w:t>
      </w:r>
      <w:proofErr w:type="gramEnd"/>
      <w:r w:rsidRPr="00BD654D">
        <w:rPr>
          <w:rFonts w:ascii="Arial" w:eastAsia="Times New Roman" w:hAnsi="Arial" w:cs="Arial"/>
          <w:color w:val="202124"/>
          <w:sz w:val="20"/>
          <w:szCs w:val="20"/>
          <w:lang w:eastAsia="pt-BR"/>
        </w:rPr>
        <w:t xml:space="preserve"> do presente processo, condeno os autores ao pagamento de honorários advocatícios aos patronos do réu, que fixo em R$ 20.000,00 (vinte mil reais), devendo cada um dos autores arcar com metade deste valor (Cristóvão Manoel de Almeida </w:t>
      </w:r>
      <w:proofErr w:type="spellStart"/>
      <w:r w:rsidRPr="00BD654D">
        <w:rPr>
          <w:rFonts w:ascii="Arial" w:eastAsia="Times New Roman" w:hAnsi="Arial" w:cs="Arial"/>
          <w:color w:val="202124"/>
          <w:sz w:val="20"/>
          <w:szCs w:val="20"/>
          <w:lang w:eastAsia="pt-BR"/>
        </w:rPr>
        <w:t>Muñoz</w:t>
      </w:r>
      <w:proofErr w:type="spellEnd"/>
      <w:r w:rsidRPr="00BD654D">
        <w:rPr>
          <w:rFonts w:ascii="Arial" w:eastAsia="Times New Roman" w:hAnsi="Arial" w:cs="Arial"/>
          <w:color w:val="202124"/>
          <w:sz w:val="20"/>
          <w:szCs w:val="20"/>
          <w:lang w:eastAsia="pt-BR"/>
        </w:rPr>
        <w:t xml:space="preserve"> de um lado e Beatriz Maria </w:t>
      </w:r>
      <w:proofErr w:type="spellStart"/>
      <w:r w:rsidRPr="00BD654D">
        <w:rPr>
          <w:rFonts w:ascii="Arial" w:eastAsia="Times New Roman" w:hAnsi="Arial" w:cs="Arial"/>
          <w:color w:val="202124"/>
          <w:sz w:val="20"/>
          <w:szCs w:val="20"/>
          <w:lang w:eastAsia="pt-BR"/>
        </w:rPr>
        <w:t>Muñoz</w:t>
      </w:r>
      <w:proofErr w:type="spellEnd"/>
      <w:r w:rsidRPr="00BD654D">
        <w:rPr>
          <w:rFonts w:ascii="Arial" w:eastAsia="Times New Roman" w:hAnsi="Arial" w:cs="Arial"/>
          <w:color w:val="202124"/>
          <w:sz w:val="20"/>
          <w:szCs w:val="20"/>
          <w:lang w:eastAsia="pt-BR"/>
        </w:rPr>
        <w:t xml:space="preserve"> Braz e seu cônjuge Gil Rodrigues Braz, de outro), o que faço na forma do § 8º e § 2º do art. 85, e do § 1º do art. 87 do CPC/2015.</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Depósito prévio a ser levantado pelo réu.</w:t>
      </w:r>
    </w:p>
    <w:p w:rsidR="00BD654D" w:rsidRPr="00BD654D" w:rsidRDefault="00BD654D" w:rsidP="00BD654D">
      <w:pPr>
        <w:spacing w:after="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Publique-se.</w:t>
      </w:r>
    </w:p>
    <w:p w:rsidR="00BD654D" w:rsidRPr="00BD654D" w:rsidRDefault="00BD654D" w:rsidP="00BD654D">
      <w:pPr>
        <w:spacing w:after="150" w:line="240" w:lineRule="auto"/>
        <w:ind w:right="540"/>
        <w:rPr>
          <w:rFonts w:ascii="Arial" w:eastAsia="Times New Roman" w:hAnsi="Arial" w:cs="Arial"/>
          <w:color w:val="202124"/>
          <w:sz w:val="20"/>
          <w:szCs w:val="20"/>
          <w:lang w:eastAsia="pt-BR"/>
        </w:rPr>
      </w:pPr>
      <w:r w:rsidRPr="00BD654D">
        <w:rPr>
          <w:rFonts w:ascii="Arial" w:eastAsia="Times New Roman" w:hAnsi="Arial" w:cs="Arial"/>
          <w:color w:val="202124"/>
          <w:sz w:val="20"/>
          <w:szCs w:val="20"/>
          <w:lang w:eastAsia="pt-BR"/>
        </w:rPr>
        <w:t>Brasília, 31 de maio de 2019.</w:t>
      </w:r>
    </w:p>
    <w:p w:rsidR="006A016C" w:rsidRPr="00BD654D" w:rsidRDefault="00BD654D" w:rsidP="00BD654D">
      <w:pPr>
        <w:rPr>
          <w:sz w:val="20"/>
          <w:szCs w:val="20"/>
        </w:rPr>
      </w:pPr>
      <w:r w:rsidRPr="00BD654D">
        <w:rPr>
          <w:rFonts w:ascii="Arial" w:eastAsia="Times New Roman" w:hAnsi="Arial" w:cs="Arial"/>
          <w:color w:val="202124"/>
          <w:sz w:val="20"/>
          <w:szCs w:val="20"/>
          <w:lang w:eastAsia="pt-BR"/>
        </w:rPr>
        <w:t>Ministra Rosa Weber, relatora.</w:t>
      </w:r>
    </w:p>
    <w:sectPr w:rsidR="006A016C" w:rsidRPr="00BD65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336" w:rsidRDefault="00EC4336" w:rsidP="00BD654D">
      <w:pPr>
        <w:spacing w:after="0" w:line="240" w:lineRule="auto"/>
      </w:pPr>
      <w:r>
        <w:separator/>
      </w:r>
    </w:p>
  </w:endnote>
  <w:endnote w:type="continuationSeparator" w:id="0">
    <w:p w:rsidR="00EC4336" w:rsidRDefault="00EC4336" w:rsidP="00BD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336" w:rsidRDefault="00EC4336" w:rsidP="00BD654D">
      <w:pPr>
        <w:spacing w:after="0" w:line="240" w:lineRule="auto"/>
      </w:pPr>
      <w:r>
        <w:separator/>
      </w:r>
    </w:p>
  </w:footnote>
  <w:footnote w:type="continuationSeparator" w:id="0">
    <w:p w:rsidR="00EC4336" w:rsidRDefault="00EC4336" w:rsidP="00BD6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4D"/>
    <w:rsid w:val="006A016C"/>
    <w:rsid w:val="00BD654D"/>
    <w:rsid w:val="00EC4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63701-F99C-4367-BC74-5508EF4D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5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54D"/>
  </w:style>
  <w:style w:type="paragraph" w:styleId="Rodap">
    <w:name w:val="footer"/>
    <w:basedOn w:val="Normal"/>
    <w:link w:val="RodapChar"/>
    <w:uiPriority w:val="99"/>
    <w:unhideWhenUsed/>
    <w:rsid w:val="00BD654D"/>
    <w:pPr>
      <w:tabs>
        <w:tab w:val="center" w:pos="4252"/>
        <w:tab w:val="right" w:pos="8504"/>
      </w:tabs>
      <w:spacing w:after="0" w:line="240" w:lineRule="auto"/>
    </w:pPr>
  </w:style>
  <w:style w:type="character" w:customStyle="1" w:styleId="RodapChar">
    <w:name w:val="Rodapé Char"/>
    <w:basedOn w:val="Fontepargpadro"/>
    <w:link w:val="Rodap"/>
    <w:uiPriority w:val="99"/>
    <w:rsid w:val="00BD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449">
      <w:bodyDiv w:val="1"/>
      <w:marLeft w:val="0"/>
      <w:marRight w:val="0"/>
      <w:marTop w:val="0"/>
      <w:marBottom w:val="0"/>
      <w:divBdr>
        <w:top w:val="none" w:sz="0" w:space="0" w:color="auto"/>
        <w:left w:val="none" w:sz="0" w:space="0" w:color="auto"/>
        <w:bottom w:val="none" w:sz="0" w:space="0" w:color="auto"/>
        <w:right w:val="none" w:sz="0" w:space="0" w:color="auto"/>
      </w:divBdr>
      <w:divsChild>
        <w:div w:id="1539538877">
          <w:marLeft w:val="0"/>
          <w:marRight w:val="0"/>
          <w:marTop w:val="0"/>
          <w:marBottom w:val="0"/>
          <w:divBdr>
            <w:top w:val="none" w:sz="0" w:space="0" w:color="auto"/>
            <w:left w:val="none" w:sz="0" w:space="0" w:color="auto"/>
            <w:bottom w:val="none" w:sz="0" w:space="0" w:color="auto"/>
            <w:right w:val="none" w:sz="0" w:space="0" w:color="auto"/>
          </w:divBdr>
          <w:divsChild>
            <w:div w:id="181164851">
              <w:marLeft w:val="0"/>
              <w:marRight w:val="0"/>
              <w:marTop w:val="0"/>
              <w:marBottom w:val="0"/>
              <w:divBdr>
                <w:top w:val="none" w:sz="0" w:space="0" w:color="auto"/>
                <w:left w:val="none" w:sz="0" w:space="0" w:color="auto"/>
                <w:bottom w:val="none" w:sz="0" w:space="0" w:color="auto"/>
                <w:right w:val="none" w:sz="0" w:space="0" w:color="auto"/>
              </w:divBdr>
              <w:divsChild>
                <w:div w:id="1787310274">
                  <w:marLeft w:val="0"/>
                  <w:marRight w:val="0"/>
                  <w:marTop w:val="0"/>
                  <w:marBottom w:val="0"/>
                  <w:divBdr>
                    <w:top w:val="none" w:sz="0" w:space="0" w:color="auto"/>
                    <w:left w:val="none" w:sz="0" w:space="0" w:color="auto"/>
                    <w:bottom w:val="none" w:sz="0" w:space="0" w:color="auto"/>
                    <w:right w:val="none" w:sz="0" w:space="0" w:color="auto"/>
                  </w:divBdr>
                  <w:divsChild>
                    <w:div w:id="69696030">
                      <w:marLeft w:val="0"/>
                      <w:marRight w:val="0"/>
                      <w:marTop w:val="0"/>
                      <w:marBottom w:val="0"/>
                      <w:divBdr>
                        <w:top w:val="none" w:sz="0" w:space="0" w:color="auto"/>
                        <w:left w:val="none" w:sz="0" w:space="0" w:color="auto"/>
                        <w:bottom w:val="none" w:sz="0" w:space="0" w:color="auto"/>
                        <w:right w:val="none" w:sz="0" w:space="0" w:color="auto"/>
                      </w:divBdr>
                      <w:divsChild>
                        <w:div w:id="39332727">
                          <w:marLeft w:val="0"/>
                          <w:marRight w:val="0"/>
                          <w:marTop w:val="0"/>
                          <w:marBottom w:val="0"/>
                          <w:divBdr>
                            <w:top w:val="none" w:sz="0" w:space="0" w:color="auto"/>
                            <w:left w:val="none" w:sz="0" w:space="0" w:color="auto"/>
                            <w:bottom w:val="none" w:sz="0" w:space="0" w:color="auto"/>
                            <w:right w:val="none" w:sz="0" w:space="0" w:color="auto"/>
                          </w:divBdr>
                          <w:divsChild>
                            <w:div w:id="73403283">
                              <w:marLeft w:val="0"/>
                              <w:marRight w:val="0"/>
                              <w:marTop w:val="0"/>
                              <w:marBottom w:val="0"/>
                              <w:divBdr>
                                <w:top w:val="none" w:sz="0" w:space="0" w:color="auto"/>
                                <w:left w:val="none" w:sz="0" w:space="0" w:color="auto"/>
                                <w:bottom w:val="none" w:sz="0" w:space="0" w:color="auto"/>
                                <w:right w:val="none" w:sz="0" w:space="0" w:color="auto"/>
                              </w:divBdr>
                              <w:divsChild>
                                <w:div w:id="188951805">
                                  <w:marLeft w:val="0"/>
                                  <w:marRight w:val="0"/>
                                  <w:marTop w:val="0"/>
                                  <w:marBottom w:val="0"/>
                                  <w:divBdr>
                                    <w:top w:val="none" w:sz="0" w:space="0" w:color="auto"/>
                                    <w:left w:val="none" w:sz="0" w:space="0" w:color="auto"/>
                                    <w:bottom w:val="none" w:sz="0" w:space="0" w:color="auto"/>
                                    <w:right w:val="none" w:sz="0" w:space="0" w:color="auto"/>
                                  </w:divBdr>
                                  <w:divsChild>
                                    <w:div w:id="1942302176">
                                      <w:marLeft w:val="0"/>
                                      <w:marRight w:val="0"/>
                                      <w:marTop w:val="0"/>
                                      <w:marBottom w:val="0"/>
                                      <w:divBdr>
                                        <w:top w:val="none" w:sz="0" w:space="0" w:color="auto"/>
                                        <w:left w:val="none" w:sz="0" w:space="0" w:color="auto"/>
                                        <w:bottom w:val="none" w:sz="0" w:space="0" w:color="auto"/>
                                        <w:right w:val="none" w:sz="0" w:space="0" w:color="auto"/>
                                      </w:divBdr>
                                      <w:divsChild>
                                        <w:div w:id="914241976">
                                          <w:marLeft w:val="0"/>
                                          <w:marRight w:val="0"/>
                                          <w:marTop w:val="0"/>
                                          <w:marBottom w:val="0"/>
                                          <w:divBdr>
                                            <w:top w:val="none" w:sz="0" w:space="0" w:color="auto"/>
                                            <w:left w:val="none" w:sz="0" w:space="0" w:color="auto"/>
                                            <w:bottom w:val="none" w:sz="0" w:space="0" w:color="auto"/>
                                            <w:right w:val="none" w:sz="0" w:space="0" w:color="auto"/>
                                          </w:divBdr>
                                          <w:divsChild>
                                            <w:div w:id="177817303">
                                              <w:marLeft w:val="0"/>
                                              <w:marRight w:val="0"/>
                                              <w:marTop w:val="0"/>
                                              <w:marBottom w:val="0"/>
                                              <w:divBdr>
                                                <w:top w:val="none" w:sz="0" w:space="0" w:color="auto"/>
                                                <w:left w:val="none" w:sz="0" w:space="0" w:color="auto"/>
                                                <w:bottom w:val="none" w:sz="0" w:space="0" w:color="auto"/>
                                                <w:right w:val="none" w:sz="0" w:space="0" w:color="auto"/>
                                              </w:divBdr>
                                              <w:divsChild>
                                                <w:div w:id="1797871472">
                                                  <w:marLeft w:val="15"/>
                                                  <w:marRight w:val="15"/>
                                                  <w:marTop w:val="15"/>
                                                  <w:marBottom w:val="15"/>
                                                  <w:divBdr>
                                                    <w:top w:val="single" w:sz="6" w:space="2" w:color="4D90FE"/>
                                                    <w:left w:val="single" w:sz="6" w:space="2" w:color="4D90FE"/>
                                                    <w:bottom w:val="single" w:sz="6" w:space="2" w:color="4D90FE"/>
                                                    <w:right w:val="single" w:sz="6" w:space="0" w:color="4D90FE"/>
                                                  </w:divBdr>
                                                  <w:divsChild>
                                                    <w:div w:id="338318968">
                                                      <w:marLeft w:val="0"/>
                                                      <w:marRight w:val="0"/>
                                                      <w:marTop w:val="0"/>
                                                      <w:marBottom w:val="0"/>
                                                      <w:divBdr>
                                                        <w:top w:val="none" w:sz="0" w:space="0" w:color="auto"/>
                                                        <w:left w:val="none" w:sz="0" w:space="0" w:color="auto"/>
                                                        <w:bottom w:val="none" w:sz="0" w:space="0" w:color="auto"/>
                                                        <w:right w:val="none" w:sz="0" w:space="0" w:color="auto"/>
                                                      </w:divBdr>
                                                      <w:divsChild>
                                                        <w:div w:id="331690632">
                                                          <w:marLeft w:val="0"/>
                                                          <w:marRight w:val="0"/>
                                                          <w:marTop w:val="0"/>
                                                          <w:marBottom w:val="0"/>
                                                          <w:divBdr>
                                                            <w:top w:val="none" w:sz="0" w:space="0" w:color="auto"/>
                                                            <w:left w:val="none" w:sz="0" w:space="0" w:color="auto"/>
                                                            <w:bottom w:val="none" w:sz="0" w:space="0" w:color="auto"/>
                                                            <w:right w:val="none" w:sz="0" w:space="0" w:color="auto"/>
                                                          </w:divBdr>
                                                          <w:divsChild>
                                                            <w:div w:id="105347244">
                                                              <w:marLeft w:val="0"/>
                                                              <w:marRight w:val="0"/>
                                                              <w:marTop w:val="0"/>
                                                              <w:marBottom w:val="0"/>
                                                              <w:divBdr>
                                                                <w:top w:val="none" w:sz="0" w:space="0" w:color="auto"/>
                                                                <w:left w:val="none" w:sz="0" w:space="0" w:color="auto"/>
                                                                <w:bottom w:val="none" w:sz="0" w:space="0" w:color="auto"/>
                                                                <w:right w:val="none" w:sz="0" w:space="0" w:color="auto"/>
                                                              </w:divBdr>
                                                              <w:divsChild>
                                                                <w:div w:id="490604131">
                                                                  <w:marLeft w:val="0"/>
                                                                  <w:marRight w:val="0"/>
                                                                  <w:marTop w:val="0"/>
                                                                  <w:marBottom w:val="0"/>
                                                                  <w:divBdr>
                                                                    <w:top w:val="none" w:sz="0" w:space="0" w:color="auto"/>
                                                                    <w:left w:val="none" w:sz="0" w:space="0" w:color="auto"/>
                                                                    <w:bottom w:val="none" w:sz="0" w:space="0" w:color="auto"/>
                                                                    <w:right w:val="none" w:sz="0" w:space="0" w:color="auto"/>
                                                                  </w:divBdr>
                                                                  <w:divsChild>
                                                                    <w:div w:id="610170228">
                                                                      <w:marLeft w:val="0"/>
                                                                      <w:marRight w:val="0"/>
                                                                      <w:marTop w:val="0"/>
                                                                      <w:marBottom w:val="0"/>
                                                                      <w:divBdr>
                                                                        <w:top w:val="none" w:sz="0" w:space="0" w:color="auto"/>
                                                                        <w:left w:val="none" w:sz="0" w:space="0" w:color="auto"/>
                                                                        <w:bottom w:val="none" w:sz="0" w:space="0" w:color="auto"/>
                                                                        <w:right w:val="none" w:sz="0" w:space="0" w:color="auto"/>
                                                                      </w:divBdr>
                                                                      <w:divsChild>
                                                                        <w:div w:id="226764991">
                                                                          <w:marLeft w:val="0"/>
                                                                          <w:marRight w:val="0"/>
                                                                          <w:marTop w:val="0"/>
                                                                          <w:marBottom w:val="0"/>
                                                                          <w:divBdr>
                                                                            <w:top w:val="none" w:sz="0" w:space="0" w:color="auto"/>
                                                                            <w:left w:val="none" w:sz="0" w:space="0" w:color="auto"/>
                                                                            <w:bottom w:val="none" w:sz="0" w:space="0" w:color="auto"/>
                                                                            <w:right w:val="none" w:sz="0" w:space="0" w:color="auto"/>
                                                                          </w:divBdr>
                                                                          <w:divsChild>
                                                                            <w:div w:id="446579964">
                                                                              <w:marLeft w:val="0"/>
                                                                              <w:marRight w:val="0"/>
                                                                              <w:marTop w:val="0"/>
                                                                              <w:marBottom w:val="0"/>
                                                                              <w:divBdr>
                                                                                <w:top w:val="none" w:sz="0" w:space="0" w:color="auto"/>
                                                                                <w:left w:val="none" w:sz="0" w:space="0" w:color="auto"/>
                                                                                <w:bottom w:val="none" w:sz="0" w:space="0" w:color="auto"/>
                                                                                <w:right w:val="none" w:sz="0" w:space="0" w:color="auto"/>
                                                                              </w:divBdr>
                                                                              <w:divsChild>
                                                                                <w:div w:id="1033924586">
                                                                                  <w:marLeft w:val="0"/>
                                                                                  <w:marRight w:val="0"/>
                                                                                  <w:marTop w:val="0"/>
                                                                                  <w:marBottom w:val="0"/>
                                                                                  <w:divBdr>
                                                                                    <w:top w:val="none" w:sz="0" w:space="0" w:color="auto"/>
                                                                                    <w:left w:val="none" w:sz="0" w:space="0" w:color="auto"/>
                                                                                    <w:bottom w:val="none" w:sz="0" w:space="0" w:color="auto"/>
                                                                                    <w:right w:val="none" w:sz="0" w:space="0" w:color="auto"/>
                                                                                  </w:divBdr>
                                                                                  <w:divsChild>
                                                                                    <w:div w:id="1652363707">
                                                                                      <w:marLeft w:val="0"/>
                                                                                      <w:marRight w:val="0"/>
                                                                                      <w:marTop w:val="0"/>
                                                                                      <w:marBottom w:val="0"/>
                                                                                      <w:divBdr>
                                                                                        <w:top w:val="none" w:sz="0" w:space="0" w:color="auto"/>
                                                                                        <w:left w:val="none" w:sz="0" w:space="0" w:color="auto"/>
                                                                                        <w:bottom w:val="none" w:sz="0" w:space="0" w:color="auto"/>
                                                                                        <w:right w:val="none" w:sz="0" w:space="0" w:color="auto"/>
                                                                                      </w:divBdr>
                                                                                      <w:divsChild>
                                                                                        <w:div w:id="656228162">
                                                                                          <w:marLeft w:val="0"/>
                                                                                          <w:marRight w:val="60"/>
                                                                                          <w:marTop w:val="0"/>
                                                                                          <w:marBottom w:val="0"/>
                                                                                          <w:divBdr>
                                                                                            <w:top w:val="none" w:sz="0" w:space="0" w:color="auto"/>
                                                                                            <w:left w:val="none" w:sz="0" w:space="0" w:color="auto"/>
                                                                                            <w:bottom w:val="none" w:sz="0" w:space="0" w:color="auto"/>
                                                                                            <w:right w:val="none" w:sz="0" w:space="0" w:color="auto"/>
                                                                                          </w:divBdr>
                                                                                          <w:divsChild>
                                                                                            <w:div w:id="1536190963">
                                                                                              <w:marLeft w:val="0"/>
                                                                                              <w:marRight w:val="120"/>
                                                                                              <w:marTop w:val="0"/>
                                                                                              <w:marBottom w:val="150"/>
                                                                                              <w:divBdr>
                                                                                                <w:top w:val="single" w:sz="2" w:space="0" w:color="EFEFEF"/>
                                                                                                <w:left w:val="single" w:sz="6" w:space="0" w:color="EFEFEF"/>
                                                                                                <w:bottom w:val="single" w:sz="6" w:space="0" w:color="E2E2E2"/>
                                                                                                <w:right w:val="single" w:sz="6" w:space="0" w:color="EFEFEF"/>
                                                                                              </w:divBdr>
                                                                                              <w:divsChild>
                                                                                                <w:div w:id="1722168923">
                                                                                                  <w:marLeft w:val="0"/>
                                                                                                  <w:marRight w:val="0"/>
                                                                                                  <w:marTop w:val="0"/>
                                                                                                  <w:marBottom w:val="0"/>
                                                                                                  <w:divBdr>
                                                                                                    <w:top w:val="none" w:sz="0" w:space="0" w:color="auto"/>
                                                                                                    <w:left w:val="none" w:sz="0" w:space="0" w:color="auto"/>
                                                                                                    <w:bottom w:val="none" w:sz="0" w:space="0" w:color="auto"/>
                                                                                                    <w:right w:val="none" w:sz="0" w:space="0" w:color="auto"/>
                                                                                                  </w:divBdr>
                                                                                                  <w:divsChild>
                                                                                                    <w:div w:id="1657995787">
                                                                                                      <w:marLeft w:val="0"/>
                                                                                                      <w:marRight w:val="0"/>
                                                                                                      <w:marTop w:val="0"/>
                                                                                                      <w:marBottom w:val="0"/>
                                                                                                      <w:divBdr>
                                                                                                        <w:top w:val="none" w:sz="0" w:space="0" w:color="auto"/>
                                                                                                        <w:left w:val="none" w:sz="0" w:space="0" w:color="auto"/>
                                                                                                        <w:bottom w:val="none" w:sz="0" w:space="0" w:color="auto"/>
                                                                                                        <w:right w:val="none" w:sz="0" w:space="0" w:color="auto"/>
                                                                                                      </w:divBdr>
                                                                                                      <w:divsChild>
                                                                                                        <w:div w:id="1535456486">
                                                                                                          <w:marLeft w:val="0"/>
                                                                                                          <w:marRight w:val="0"/>
                                                                                                          <w:marTop w:val="0"/>
                                                                                                          <w:marBottom w:val="0"/>
                                                                                                          <w:divBdr>
                                                                                                            <w:top w:val="none" w:sz="0" w:space="0" w:color="auto"/>
                                                                                                            <w:left w:val="none" w:sz="0" w:space="0" w:color="auto"/>
                                                                                                            <w:bottom w:val="none" w:sz="0" w:space="0" w:color="auto"/>
                                                                                                            <w:right w:val="none" w:sz="0" w:space="0" w:color="auto"/>
                                                                                                          </w:divBdr>
                                                                                                          <w:divsChild>
                                                                                                            <w:div w:id="925263254">
                                                                                                              <w:marLeft w:val="0"/>
                                                                                                              <w:marRight w:val="0"/>
                                                                                                              <w:marTop w:val="0"/>
                                                                                                              <w:marBottom w:val="0"/>
                                                                                                              <w:divBdr>
                                                                                                                <w:top w:val="none" w:sz="0" w:space="0" w:color="auto"/>
                                                                                                                <w:left w:val="none" w:sz="0" w:space="0" w:color="auto"/>
                                                                                                                <w:bottom w:val="none" w:sz="0" w:space="0" w:color="auto"/>
                                                                                                                <w:right w:val="none" w:sz="0" w:space="0" w:color="auto"/>
                                                                                                              </w:divBdr>
                                                                                                              <w:divsChild>
                                                                                                                <w:div w:id="1988703167">
                                                                                                                  <w:marLeft w:val="0"/>
                                                                                                                  <w:marRight w:val="0"/>
                                                                                                                  <w:marTop w:val="0"/>
                                                                                                                  <w:marBottom w:val="0"/>
                                                                                                                  <w:divBdr>
                                                                                                                    <w:top w:val="none" w:sz="0" w:space="4" w:color="auto"/>
                                                                                                                    <w:left w:val="none" w:sz="0" w:space="0" w:color="auto"/>
                                                                                                                    <w:bottom w:val="none" w:sz="0" w:space="4" w:color="auto"/>
                                                                                                                    <w:right w:val="none" w:sz="0" w:space="0" w:color="auto"/>
                                                                                                                  </w:divBdr>
                                                                                                                  <w:divsChild>
                                                                                                                    <w:div w:id="1475370414">
                                                                                                                      <w:marLeft w:val="0"/>
                                                                                                                      <w:marRight w:val="0"/>
                                                                                                                      <w:marTop w:val="0"/>
                                                                                                                      <w:marBottom w:val="0"/>
                                                                                                                      <w:divBdr>
                                                                                                                        <w:top w:val="none" w:sz="0" w:space="0" w:color="auto"/>
                                                                                                                        <w:left w:val="none" w:sz="0" w:space="0" w:color="auto"/>
                                                                                                                        <w:bottom w:val="none" w:sz="0" w:space="0" w:color="auto"/>
                                                                                                                        <w:right w:val="none" w:sz="0" w:space="0" w:color="auto"/>
                                                                                                                      </w:divBdr>
                                                                                                                      <w:divsChild>
                                                                                                                        <w:div w:id="53050883">
                                                                                                                          <w:marLeft w:val="225"/>
                                                                                                                          <w:marRight w:val="225"/>
                                                                                                                          <w:marTop w:val="75"/>
                                                                                                                          <w:marBottom w:val="75"/>
                                                                                                                          <w:divBdr>
                                                                                                                            <w:top w:val="none" w:sz="0" w:space="0" w:color="auto"/>
                                                                                                                            <w:left w:val="none" w:sz="0" w:space="0" w:color="auto"/>
                                                                                                                            <w:bottom w:val="none" w:sz="0" w:space="0" w:color="auto"/>
                                                                                                                            <w:right w:val="none" w:sz="0" w:space="0" w:color="auto"/>
                                                                                                                          </w:divBdr>
                                                                                                                          <w:divsChild>
                                                                                                                            <w:div w:id="632098240">
                                                                                                                              <w:marLeft w:val="0"/>
                                                                                                                              <w:marRight w:val="0"/>
                                                                                                                              <w:marTop w:val="0"/>
                                                                                                                              <w:marBottom w:val="0"/>
                                                                                                                              <w:divBdr>
                                                                                                                                <w:top w:val="single" w:sz="6" w:space="0" w:color="auto"/>
                                                                                                                                <w:left w:val="single" w:sz="6" w:space="0" w:color="auto"/>
                                                                                                                                <w:bottom w:val="single" w:sz="6" w:space="0" w:color="auto"/>
                                                                                                                                <w:right w:val="single" w:sz="6" w:space="0" w:color="auto"/>
                                                                                                                              </w:divBdr>
                                                                                                                              <w:divsChild>
                                                                                                                                <w:div w:id="841508248">
                                                                                                                                  <w:marLeft w:val="0"/>
                                                                                                                                  <w:marRight w:val="0"/>
                                                                                                                                  <w:marTop w:val="0"/>
                                                                                                                                  <w:marBottom w:val="0"/>
                                                                                                                                  <w:divBdr>
                                                                                                                                    <w:top w:val="none" w:sz="0" w:space="0" w:color="auto"/>
                                                                                                                                    <w:left w:val="none" w:sz="0" w:space="0" w:color="auto"/>
                                                                                                                                    <w:bottom w:val="none" w:sz="0" w:space="0" w:color="auto"/>
                                                                                                                                    <w:right w:val="none" w:sz="0" w:space="0" w:color="auto"/>
                                                                                                                                  </w:divBdr>
                                                                                                                                  <w:divsChild>
                                                                                                                                    <w:div w:id="807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5206</Words>
  <Characters>28118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2</cp:revision>
  <dcterms:created xsi:type="dcterms:W3CDTF">2019-07-08T16:09:00Z</dcterms:created>
  <dcterms:modified xsi:type="dcterms:W3CDTF">2019-07-08T16:11:00Z</dcterms:modified>
</cp:coreProperties>
</file>